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FC4EF6" w:rsidP="008A598B">
            <w:pPr>
              <w:rPr>
                <w:b/>
                <w:sz w:val="24"/>
              </w:rPr>
            </w:pPr>
            <w:r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9ACD94" wp14:editId="41CD47A9">
                  <wp:simplePos x="0" y="0"/>
                  <wp:positionH relativeFrom="column">
                    <wp:posOffset>1736090</wp:posOffset>
                  </wp:positionH>
                  <wp:positionV relativeFrom="paragraph">
                    <wp:posOffset>-1225550</wp:posOffset>
                  </wp:positionV>
                  <wp:extent cx="853440" cy="1094740"/>
                  <wp:effectExtent l="0" t="0" r="3810" b="0"/>
                  <wp:wrapNone/>
                  <wp:docPr id="1" name="Picture 1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9A7" w:rsidRPr="008A598B">
              <w:rPr>
                <w:b/>
                <w:sz w:val="24"/>
              </w:rPr>
              <w:t>Your evidence:</w:t>
            </w:r>
          </w:p>
        </w:tc>
      </w:tr>
      <w:tr w:rsidR="00B549A7" w:rsidTr="008A598B">
        <w:trPr>
          <w:trHeight w:val="6135"/>
        </w:trPr>
        <w:tc>
          <w:tcPr>
            <w:tcW w:w="3402" w:type="dxa"/>
          </w:tcPr>
          <w:p w:rsidR="00047267" w:rsidRPr="009E0867" w:rsidRDefault="00047267" w:rsidP="003F7D3D">
            <w:pPr>
              <w:rPr>
                <w:color w:val="A6A6A6" w:themeColor="background1" w:themeShade="A6"/>
                <w:sz w:val="8"/>
                <w:szCs w:val="20"/>
              </w:rPr>
            </w:pPr>
          </w:p>
          <w:p w:rsidR="008A3667" w:rsidRDefault="008A3667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 xml:space="preserve">Safeguarding Competency Framework </w:t>
            </w:r>
            <w:r>
              <w:rPr>
                <w:sz w:val="20"/>
                <w:szCs w:val="20"/>
              </w:rPr>
              <w:t xml:space="preserve">is a flexible learning approach towards how we manage our safeguarding knowledge and practice. </w:t>
            </w:r>
          </w:p>
          <w:p w:rsidR="008A3667" w:rsidRPr="009E0867" w:rsidRDefault="008A3667" w:rsidP="003F7D3D">
            <w:pPr>
              <w:rPr>
                <w:sz w:val="12"/>
                <w:szCs w:val="20"/>
              </w:rPr>
            </w:pPr>
          </w:p>
          <w:p w:rsidR="008A3667" w:rsidRDefault="008A3667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an LLR LSCB endorsed framework that has been created to enable multi agency services to </w:t>
            </w:r>
            <w:r w:rsidR="009E0867">
              <w:rPr>
                <w:sz w:val="20"/>
                <w:szCs w:val="20"/>
              </w:rPr>
              <w:t xml:space="preserve">reflect on the skills and knowledge of the workforce, recognising strengths in individuals safeguarding practice and identifying areas for improvement. </w:t>
            </w:r>
          </w:p>
          <w:p w:rsidR="009E0867" w:rsidRPr="009E0867" w:rsidRDefault="009E0867" w:rsidP="003F7D3D">
            <w:pPr>
              <w:rPr>
                <w:sz w:val="12"/>
                <w:szCs w:val="20"/>
              </w:rPr>
            </w:pPr>
          </w:p>
          <w:p w:rsidR="008A3667" w:rsidRDefault="008A3667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practitioners are expected to meet the </w:t>
            </w:r>
            <w:r>
              <w:rPr>
                <w:b/>
                <w:sz w:val="20"/>
                <w:szCs w:val="20"/>
              </w:rPr>
              <w:t>Core Competencies</w:t>
            </w:r>
            <w:r>
              <w:rPr>
                <w:sz w:val="20"/>
                <w:szCs w:val="20"/>
              </w:rPr>
              <w:t xml:space="preserve">. Then depending on role, </w:t>
            </w:r>
            <w:r w:rsidRPr="009E0867">
              <w:rPr>
                <w:b/>
                <w:sz w:val="20"/>
                <w:szCs w:val="20"/>
              </w:rPr>
              <w:t>additional competencies</w:t>
            </w:r>
            <w:r w:rsidR="009E0867" w:rsidRPr="009E0867">
              <w:rPr>
                <w:b/>
                <w:sz w:val="20"/>
                <w:szCs w:val="20"/>
              </w:rPr>
              <w:t xml:space="preserve"> </w:t>
            </w:r>
            <w:r w:rsidR="009E0867">
              <w:rPr>
                <w:sz w:val="20"/>
                <w:szCs w:val="20"/>
              </w:rPr>
              <w:t>can be selected for staff to log their evidence against.</w:t>
            </w:r>
          </w:p>
          <w:p w:rsidR="009E0867" w:rsidRPr="009E0867" w:rsidRDefault="009E0867" w:rsidP="003F7D3D">
            <w:pPr>
              <w:rPr>
                <w:sz w:val="10"/>
                <w:szCs w:val="20"/>
              </w:rPr>
            </w:pPr>
          </w:p>
          <w:p w:rsidR="009E0867" w:rsidRDefault="009E0867" w:rsidP="003F7D3D">
            <w:pPr>
              <w:rPr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>Logs templates</w:t>
            </w:r>
            <w:r>
              <w:rPr>
                <w:sz w:val="20"/>
                <w:szCs w:val="20"/>
              </w:rPr>
              <w:t xml:space="preserve"> are available. They should reflect the experiences and training undertaken by the individual. This should enable managers to clearly identify </w:t>
            </w:r>
            <w:r w:rsidRPr="00E02A66">
              <w:rPr>
                <w:b/>
                <w:sz w:val="20"/>
                <w:szCs w:val="20"/>
              </w:rPr>
              <w:t>learning needs</w:t>
            </w:r>
            <w:r>
              <w:rPr>
                <w:sz w:val="20"/>
                <w:szCs w:val="20"/>
              </w:rPr>
              <w:t xml:space="preserve">, establishing </w:t>
            </w:r>
            <w:r w:rsidRPr="00E02A66">
              <w:rPr>
                <w:b/>
                <w:sz w:val="20"/>
                <w:szCs w:val="20"/>
              </w:rPr>
              <w:t>targeted CPD opportunities</w:t>
            </w:r>
            <w:r>
              <w:rPr>
                <w:sz w:val="20"/>
                <w:szCs w:val="20"/>
              </w:rPr>
              <w:t xml:space="preserve">. </w:t>
            </w:r>
          </w:p>
          <w:p w:rsidR="009E0867" w:rsidRPr="009E0867" w:rsidRDefault="009E0867" w:rsidP="003F7D3D">
            <w:pPr>
              <w:rPr>
                <w:sz w:val="8"/>
                <w:szCs w:val="20"/>
              </w:rPr>
            </w:pPr>
          </w:p>
          <w:p w:rsidR="00047267" w:rsidRPr="006E49F9" w:rsidRDefault="009E0867" w:rsidP="009E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Logs should be reviewed regularly, and should scale 12 months. After 12months, competencies should be ‘signed off’ and a fresh log created. It is advisable that this practice is built in to existing </w:t>
            </w:r>
            <w:r w:rsidRPr="00E02A66">
              <w:rPr>
                <w:b/>
                <w:sz w:val="20"/>
                <w:szCs w:val="20"/>
              </w:rPr>
              <w:t>supervision and appraisal processes.</w:t>
            </w:r>
          </w:p>
        </w:tc>
        <w:tc>
          <w:tcPr>
            <w:tcW w:w="3510" w:type="dxa"/>
          </w:tcPr>
          <w:p w:rsidR="00047267" w:rsidRPr="009E0867" w:rsidRDefault="00047267" w:rsidP="008A598B">
            <w:pPr>
              <w:rPr>
                <w:color w:val="A6A6A6" w:themeColor="background1" w:themeShade="A6"/>
                <w:sz w:val="10"/>
                <w:szCs w:val="20"/>
              </w:rPr>
            </w:pPr>
          </w:p>
          <w:p w:rsidR="003D4251" w:rsidRDefault="003D4251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4251">
              <w:rPr>
                <w:sz w:val="20"/>
                <w:szCs w:val="20"/>
              </w:rPr>
              <w:t xml:space="preserve">Have </w:t>
            </w:r>
            <w:r>
              <w:rPr>
                <w:sz w:val="20"/>
                <w:szCs w:val="20"/>
              </w:rPr>
              <w:t>addition</w:t>
            </w:r>
            <w:r w:rsidR="00777868"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competencies to sit alongside the core competencies been established for all staff, dependent of level of responsibility/contact with children and families?</w:t>
            </w:r>
          </w:p>
          <w:p w:rsidR="009E0867" w:rsidRPr="003D4251" w:rsidRDefault="009E0867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3D4251">
              <w:rPr>
                <w:sz w:val="20"/>
                <w:szCs w:val="20"/>
              </w:rPr>
              <w:t>Are staff</w:t>
            </w:r>
            <w:proofErr w:type="gramEnd"/>
            <w:r w:rsidRPr="003D4251">
              <w:rPr>
                <w:sz w:val="20"/>
                <w:szCs w:val="20"/>
              </w:rPr>
              <w:t xml:space="preserve"> familiar with the competencies that they are expected to meet?</w:t>
            </w:r>
          </w:p>
          <w:p w:rsidR="009E0867" w:rsidRDefault="009E0867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managers and leaders provide clear guidance for practitioners with regard to appropriate evidence?</w:t>
            </w:r>
          </w:p>
          <w:p w:rsidR="009E0867" w:rsidRDefault="009E0867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competency logs discussed as a part of supervisions/appraisals?</w:t>
            </w:r>
          </w:p>
          <w:p w:rsidR="009E0867" w:rsidRDefault="009E0867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3D4251">
              <w:rPr>
                <w:sz w:val="20"/>
                <w:szCs w:val="20"/>
              </w:rPr>
              <w:t>the evidence collated;</w:t>
            </w:r>
            <w:r>
              <w:rPr>
                <w:sz w:val="20"/>
                <w:szCs w:val="20"/>
              </w:rPr>
              <w:t xml:space="preserve"> varied, meaningful and personal to the individual?</w:t>
            </w:r>
          </w:p>
          <w:p w:rsidR="009E0867" w:rsidRDefault="009E0867" w:rsidP="009E086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 staff</w:t>
            </w:r>
            <w:proofErr w:type="gramEnd"/>
            <w:r>
              <w:rPr>
                <w:sz w:val="20"/>
                <w:szCs w:val="20"/>
              </w:rPr>
              <w:t xml:space="preserve"> include online safeguarding learning when collating evidence? If so, what processes are in place to ensure that the practitioner is able</w:t>
            </w:r>
            <w:r w:rsidR="00BA7547">
              <w:rPr>
                <w:sz w:val="20"/>
                <w:szCs w:val="20"/>
              </w:rPr>
              <w:t xml:space="preserve"> to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apply the theory of the learning to the context of their role? </w:t>
            </w:r>
          </w:p>
          <w:p w:rsidR="003F7D3D" w:rsidRPr="003D4251" w:rsidRDefault="003D4251" w:rsidP="008A598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4251">
              <w:rPr>
                <w:sz w:val="20"/>
                <w:szCs w:val="20"/>
              </w:rPr>
              <w:t>Are clear CPD next steps identified when reviewing staffs evidence logs?</w:t>
            </w:r>
          </w:p>
          <w:p w:rsidR="003F7D3D" w:rsidRPr="006E49F9" w:rsidRDefault="003F7D3D" w:rsidP="008A598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047267" w:rsidRPr="003D4251" w:rsidRDefault="00047267" w:rsidP="003F7D3D">
            <w:pPr>
              <w:rPr>
                <w:color w:val="FF0000"/>
                <w:sz w:val="20"/>
                <w:szCs w:val="20"/>
              </w:rPr>
            </w:pPr>
          </w:p>
          <w:p w:rsidR="00E02A66" w:rsidRDefault="00E02A66" w:rsidP="003F7D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 Cards</w:t>
            </w:r>
          </w:p>
          <w:p w:rsidR="00324DF2" w:rsidRDefault="00E02A66" w:rsidP="003F7D3D">
            <w:pPr>
              <w:rPr>
                <w:sz w:val="20"/>
                <w:szCs w:val="20"/>
              </w:rPr>
            </w:pPr>
            <w:r w:rsidRPr="00E02A66">
              <w:rPr>
                <w:sz w:val="20"/>
                <w:szCs w:val="20"/>
              </w:rPr>
              <w:t>Safeguarding Competency Framework 1</w:t>
            </w:r>
          </w:p>
          <w:p w:rsidR="00E02A66" w:rsidRPr="00E02A66" w:rsidRDefault="00324DF2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Safeguarding Competency Framework </w:t>
            </w:r>
            <w:r w:rsidR="00E02A66" w:rsidRPr="00E02A66">
              <w:rPr>
                <w:sz w:val="20"/>
                <w:szCs w:val="20"/>
              </w:rPr>
              <w:t>2</w:t>
            </w:r>
          </w:p>
          <w:p w:rsidR="00047267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E02A66" w:rsidRPr="00E02A66" w:rsidRDefault="00E02A66" w:rsidP="00E02A66">
            <w:pPr>
              <w:rPr>
                <w:b/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 xml:space="preserve">Useful </w:t>
            </w:r>
            <w:r>
              <w:rPr>
                <w:b/>
                <w:sz w:val="20"/>
                <w:szCs w:val="20"/>
              </w:rPr>
              <w:t>links</w:t>
            </w:r>
            <w:r w:rsidRPr="00E02A66">
              <w:rPr>
                <w:b/>
                <w:sz w:val="20"/>
                <w:szCs w:val="20"/>
              </w:rPr>
              <w:t>;</w:t>
            </w:r>
          </w:p>
          <w:p w:rsidR="00E02A66" w:rsidRDefault="00E02A66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E02A66" w:rsidRPr="00E02A66" w:rsidRDefault="00E02A66" w:rsidP="003F7D3D">
            <w:pPr>
              <w:rPr>
                <w:b/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>LLR LSCB</w:t>
            </w:r>
          </w:p>
          <w:p w:rsidR="00E02A66" w:rsidRDefault="00E02A66" w:rsidP="003F7D3D">
            <w:pPr>
              <w:rPr>
                <w:color w:val="A6A6A6" w:themeColor="background1" w:themeShade="A6"/>
                <w:sz w:val="20"/>
                <w:szCs w:val="20"/>
              </w:rPr>
            </w:pPr>
            <w:r w:rsidRPr="00E02A66">
              <w:rPr>
                <w:sz w:val="20"/>
                <w:szCs w:val="20"/>
              </w:rPr>
              <w:t>http://lrsb.org.uk/safeguarding-children-learning</w:t>
            </w:r>
          </w:p>
          <w:p w:rsidR="00E02A66" w:rsidRPr="006E49F9" w:rsidRDefault="00E02A66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047267" w:rsidRDefault="003D4251" w:rsidP="003F7D3D">
            <w:pPr>
              <w:rPr>
                <w:b/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>Training:</w:t>
            </w:r>
          </w:p>
          <w:p w:rsidR="00324DF2" w:rsidRPr="00E02A66" w:rsidRDefault="00324DF2" w:rsidP="003F7D3D">
            <w:pPr>
              <w:rPr>
                <w:b/>
                <w:sz w:val="20"/>
                <w:szCs w:val="20"/>
              </w:rPr>
            </w:pPr>
          </w:p>
          <w:p w:rsidR="00E02A66" w:rsidRPr="00E02A66" w:rsidRDefault="00E02A66" w:rsidP="003F7D3D">
            <w:pPr>
              <w:rPr>
                <w:b/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>Early Education Development Team</w:t>
            </w:r>
          </w:p>
          <w:p w:rsidR="00E02A66" w:rsidRDefault="003D4251" w:rsidP="003F7D3D">
            <w:pPr>
              <w:rPr>
                <w:sz w:val="20"/>
                <w:szCs w:val="20"/>
              </w:rPr>
            </w:pPr>
            <w:r w:rsidRPr="00E02A66">
              <w:rPr>
                <w:sz w:val="20"/>
                <w:szCs w:val="20"/>
              </w:rPr>
              <w:t>Safeguarding The Wellbeing of Children.</w:t>
            </w:r>
            <w:r w:rsidR="00E02A66">
              <w:rPr>
                <w:sz w:val="20"/>
                <w:szCs w:val="20"/>
              </w:rPr>
              <w:t xml:space="preserve"> </w:t>
            </w:r>
            <w:r w:rsidRPr="00E02A66">
              <w:rPr>
                <w:sz w:val="20"/>
                <w:szCs w:val="20"/>
              </w:rPr>
              <w:t xml:space="preserve">See </w:t>
            </w:r>
            <w:r w:rsidR="00E02A66">
              <w:rPr>
                <w:sz w:val="20"/>
                <w:szCs w:val="20"/>
              </w:rPr>
              <w:t>link for future dates;</w:t>
            </w:r>
          </w:p>
          <w:p w:rsidR="00A46455" w:rsidRDefault="00BA7547" w:rsidP="003F7D3D">
            <w:pPr>
              <w:rPr>
                <w:color w:val="A6A6A6" w:themeColor="background1" w:themeShade="A6"/>
                <w:sz w:val="20"/>
                <w:szCs w:val="20"/>
              </w:rPr>
            </w:pPr>
            <w:hyperlink r:id="rId9" w:history="1">
              <w:r w:rsidR="00E02A66" w:rsidRPr="003A7B08">
                <w:rPr>
                  <w:rStyle w:val="Hyperlink"/>
                  <w:sz w:val="20"/>
                  <w:szCs w:val="20"/>
                </w:rPr>
                <w:t>https://families.leicester.gov.uk/childcare-professionals/early-education-development/training-and-development</w:t>
              </w:r>
            </w:hyperlink>
            <w:r w:rsidR="00E02A66"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E02A66" w:rsidRPr="00E02A66" w:rsidRDefault="00E02A66" w:rsidP="003F7D3D">
            <w:pPr>
              <w:rPr>
                <w:b/>
                <w:sz w:val="20"/>
                <w:szCs w:val="20"/>
              </w:rPr>
            </w:pPr>
          </w:p>
          <w:p w:rsidR="00E02A66" w:rsidRPr="00E02A66" w:rsidRDefault="00E02A66" w:rsidP="003F7D3D">
            <w:pPr>
              <w:rPr>
                <w:b/>
                <w:sz w:val="20"/>
                <w:szCs w:val="20"/>
              </w:rPr>
            </w:pPr>
            <w:r w:rsidRPr="00E02A66">
              <w:rPr>
                <w:b/>
                <w:sz w:val="20"/>
                <w:szCs w:val="20"/>
              </w:rPr>
              <w:t>LLR LSCB</w:t>
            </w:r>
          </w:p>
          <w:p w:rsidR="00E02A66" w:rsidRPr="00E02A66" w:rsidRDefault="00E02A66" w:rsidP="003F7D3D">
            <w:pPr>
              <w:rPr>
                <w:sz w:val="20"/>
                <w:szCs w:val="20"/>
              </w:rPr>
            </w:pPr>
            <w:r w:rsidRPr="00E02A66">
              <w:rPr>
                <w:sz w:val="20"/>
                <w:szCs w:val="20"/>
              </w:rPr>
              <w:t>http://lrsb.org.uk/learning-opportunities</w:t>
            </w:r>
          </w:p>
          <w:p w:rsidR="00E02A66" w:rsidRPr="006E49F9" w:rsidRDefault="00E02A66" w:rsidP="003F7D3D">
            <w:pPr>
              <w:rPr>
                <w:color w:val="9BBB59" w:themeColor="accent3"/>
                <w:sz w:val="20"/>
                <w:szCs w:val="20"/>
              </w:rPr>
            </w:pPr>
          </w:p>
          <w:p w:rsidR="00451911" w:rsidRPr="006E49F9" w:rsidRDefault="00451911" w:rsidP="003F7D3D">
            <w:pPr>
              <w:rPr>
                <w:color w:val="9BBB59" w:themeColor="accent3"/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B549A7" w:rsidRPr="006E49F9" w:rsidRDefault="00B549A7" w:rsidP="00A46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49A7" w:rsidRDefault="00047267" w:rsidP="00047267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t xml:space="preserve">Guidance note: Remember to date your evidence to allow you to revisit and review relevance.  </w:t>
            </w: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047267" w:rsidRDefault="00047267" w:rsidP="00047267">
            <w:pPr>
              <w:rPr>
                <w:color w:val="9BBB59" w:themeColor="accent3"/>
                <w:sz w:val="24"/>
              </w:rPr>
            </w:pPr>
          </w:p>
        </w:tc>
      </w:tr>
    </w:tbl>
    <w:p w:rsidR="008A598B" w:rsidRPr="008A598B" w:rsidRDefault="008A598B" w:rsidP="00572173">
      <w:pPr>
        <w:rPr>
          <w:b/>
          <w:color w:val="0070C0"/>
          <w:sz w:val="12"/>
        </w:rPr>
      </w:pPr>
    </w:p>
    <w:sectPr w:rsidR="008A598B" w:rsidRPr="008A598B" w:rsidSect="008A598B">
      <w:headerReference w:type="default" r:id="rId10"/>
      <w:footerReference w:type="default" r:id="rId1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template, see annex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73" w:rsidRPr="00047267" w:rsidRDefault="00572173" w:rsidP="00572173">
    <w:pPr>
      <w:rPr>
        <w:b/>
        <w:color w:val="FF0000"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</w:t>
    </w:r>
    <w:r w:rsidR="00E57CA7">
      <w:rPr>
        <w:b/>
        <w:sz w:val="28"/>
      </w:rPr>
      <w:t>Section 1</w:t>
    </w:r>
    <w:r w:rsidRPr="00572173">
      <w:rPr>
        <w:b/>
        <w:sz w:val="28"/>
      </w:rPr>
      <w:t xml:space="preserve"> – </w:t>
    </w:r>
    <w:r w:rsidR="00E57CA7">
      <w:rPr>
        <w:b/>
        <w:sz w:val="28"/>
      </w:rPr>
      <w:t>Safeguarding</w:t>
    </w:r>
  </w:p>
  <w:p w:rsidR="00572173" w:rsidRPr="002B7990" w:rsidRDefault="00572173" w:rsidP="00572173">
    <w:pPr>
      <w:rPr>
        <w:b/>
        <w:color w:val="FF0000"/>
      </w:rPr>
    </w:pPr>
    <w:r>
      <w:t xml:space="preserve"> </w:t>
    </w:r>
    <w:r w:rsidR="00B549A7" w:rsidRPr="00977C9D">
      <w:rPr>
        <w:sz w:val="28"/>
      </w:rPr>
      <w:t xml:space="preserve">Subsection: </w:t>
    </w:r>
    <w:r w:rsidR="002B7990" w:rsidRPr="002B7990">
      <w:rPr>
        <w:b/>
        <w:color w:val="FF0000"/>
        <w:sz w:val="28"/>
      </w:rPr>
      <w:t>Safeguarding Competency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160D"/>
    <w:multiLevelType w:val="hybridMultilevel"/>
    <w:tmpl w:val="EFBA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4FD1"/>
    <w:rsid w:val="00047267"/>
    <w:rsid w:val="001C6CD2"/>
    <w:rsid w:val="002B7990"/>
    <w:rsid w:val="00324DF2"/>
    <w:rsid w:val="003D4251"/>
    <w:rsid w:val="003F7D3D"/>
    <w:rsid w:val="00423B6B"/>
    <w:rsid w:val="00451911"/>
    <w:rsid w:val="00572173"/>
    <w:rsid w:val="005D27BE"/>
    <w:rsid w:val="006E49F9"/>
    <w:rsid w:val="00703A3E"/>
    <w:rsid w:val="00777868"/>
    <w:rsid w:val="008A3667"/>
    <w:rsid w:val="008A598B"/>
    <w:rsid w:val="00977C9D"/>
    <w:rsid w:val="00980E45"/>
    <w:rsid w:val="009E0867"/>
    <w:rsid w:val="00A46455"/>
    <w:rsid w:val="00B549A7"/>
    <w:rsid w:val="00BA7547"/>
    <w:rsid w:val="00E02A66"/>
    <w:rsid w:val="00E57CA7"/>
    <w:rsid w:val="00F059B1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milies.leicester.gov.uk/childcare-professionals/early-education-development/training-and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Pat Wadd</cp:lastModifiedBy>
  <cp:revision>8</cp:revision>
  <dcterms:created xsi:type="dcterms:W3CDTF">2018-07-09T14:16:00Z</dcterms:created>
  <dcterms:modified xsi:type="dcterms:W3CDTF">2018-10-23T12:40:00Z</dcterms:modified>
</cp:coreProperties>
</file>