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34"/>
        <w:tblW w:w="15026" w:type="dxa"/>
        <w:tblLayout w:type="fixed"/>
        <w:tblLook w:val="04A0" w:firstRow="1" w:lastRow="0" w:firstColumn="1" w:lastColumn="0" w:noHBand="0" w:noVBand="1"/>
      </w:tblPr>
      <w:tblGrid>
        <w:gridCol w:w="3402"/>
        <w:gridCol w:w="3510"/>
        <w:gridCol w:w="4428"/>
        <w:gridCol w:w="3686"/>
      </w:tblGrid>
      <w:tr w:rsidR="00B549A7" w:rsidTr="008A598B">
        <w:tc>
          <w:tcPr>
            <w:tcW w:w="3402" w:type="dxa"/>
          </w:tcPr>
          <w:p w:rsidR="00B549A7" w:rsidRPr="008A598B" w:rsidRDefault="00B549A7" w:rsidP="008A598B">
            <w:pPr>
              <w:rPr>
                <w:b/>
                <w:sz w:val="24"/>
              </w:rPr>
            </w:pPr>
            <w:r w:rsidRPr="008A598B">
              <w:rPr>
                <w:b/>
                <w:sz w:val="24"/>
              </w:rPr>
              <w:t>Guidance notes:</w:t>
            </w:r>
          </w:p>
        </w:tc>
        <w:tc>
          <w:tcPr>
            <w:tcW w:w="3510" w:type="dxa"/>
          </w:tcPr>
          <w:p w:rsidR="00B549A7" w:rsidRPr="008A598B" w:rsidRDefault="00B549A7" w:rsidP="008A598B">
            <w:pPr>
              <w:rPr>
                <w:b/>
                <w:sz w:val="24"/>
              </w:rPr>
            </w:pPr>
            <w:r w:rsidRPr="008A598B">
              <w:rPr>
                <w:b/>
                <w:sz w:val="24"/>
              </w:rPr>
              <w:t>Reflective questions:</w:t>
            </w:r>
          </w:p>
        </w:tc>
        <w:tc>
          <w:tcPr>
            <w:tcW w:w="4428" w:type="dxa"/>
          </w:tcPr>
          <w:p w:rsidR="00B549A7" w:rsidRPr="008A598B" w:rsidRDefault="00B549A7" w:rsidP="008A598B">
            <w:pPr>
              <w:rPr>
                <w:b/>
                <w:sz w:val="24"/>
              </w:rPr>
            </w:pPr>
            <w:r w:rsidRPr="008A598B">
              <w:rPr>
                <w:b/>
                <w:sz w:val="24"/>
              </w:rPr>
              <w:t>Links to supporting information:</w:t>
            </w:r>
          </w:p>
        </w:tc>
        <w:tc>
          <w:tcPr>
            <w:tcW w:w="3686" w:type="dxa"/>
          </w:tcPr>
          <w:p w:rsidR="00B549A7" w:rsidRPr="008A598B" w:rsidRDefault="00906E76" w:rsidP="008A598B">
            <w:pPr>
              <w:rPr>
                <w:b/>
                <w:sz w:val="24"/>
              </w:rPr>
            </w:pPr>
            <w:r>
              <w:rPr>
                <w:b/>
                <w:noProof/>
                <w:sz w:val="20"/>
                <w:lang w:eastAsia="en-GB"/>
              </w:rPr>
              <w:drawing>
                <wp:anchor distT="0" distB="0" distL="114300" distR="114300" simplePos="0" relativeHeight="251659264" behindDoc="0" locked="0" layoutInCell="1" allowOverlap="1" wp14:anchorId="3D0BF56E" wp14:editId="0ED34AD1">
                  <wp:simplePos x="0" y="0"/>
                  <wp:positionH relativeFrom="column">
                    <wp:posOffset>1732915</wp:posOffset>
                  </wp:positionH>
                  <wp:positionV relativeFrom="paragraph">
                    <wp:posOffset>-1236345</wp:posOffset>
                  </wp:positionV>
                  <wp:extent cx="878205" cy="1126490"/>
                  <wp:effectExtent l="0" t="0" r="0" b="0"/>
                  <wp:wrapNone/>
                  <wp:docPr id="1" name="Picture 1"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1126490"/>
                          </a:xfrm>
                          <a:prstGeom prst="rect">
                            <a:avLst/>
                          </a:prstGeom>
                          <a:noFill/>
                        </pic:spPr>
                      </pic:pic>
                    </a:graphicData>
                  </a:graphic>
                  <wp14:sizeRelH relativeFrom="page">
                    <wp14:pctWidth>0</wp14:pctWidth>
                  </wp14:sizeRelH>
                  <wp14:sizeRelV relativeFrom="page">
                    <wp14:pctHeight>0</wp14:pctHeight>
                  </wp14:sizeRelV>
                </wp:anchor>
              </w:drawing>
            </w:r>
            <w:r w:rsidR="00B549A7" w:rsidRPr="008A598B">
              <w:rPr>
                <w:b/>
                <w:sz w:val="24"/>
              </w:rPr>
              <w:t>Your evidence:</w:t>
            </w:r>
          </w:p>
        </w:tc>
      </w:tr>
      <w:tr w:rsidR="00B549A7" w:rsidTr="008A598B">
        <w:trPr>
          <w:trHeight w:val="6135"/>
        </w:trPr>
        <w:tc>
          <w:tcPr>
            <w:tcW w:w="3402" w:type="dxa"/>
          </w:tcPr>
          <w:p w:rsidR="00310F00" w:rsidRPr="00310F00" w:rsidRDefault="00310F00" w:rsidP="00310F00">
            <w:pPr>
              <w:pStyle w:val="Default"/>
              <w:rPr>
                <w:rFonts w:asciiTheme="minorHAnsi" w:hAnsiTheme="minorHAnsi"/>
                <w:sz w:val="20"/>
              </w:rPr>
            </w:pPr>
          </w:p>
          <w:p w:rsidR="00310F00" w:rsidRPr="00310F00" w:rsidRDefault="00310F00" w:rsidP="00310F00">
            <w:pPr>
              <w:pStyle w:val="Default"/>
              <w:rPr>
                <w:rFonts w:asciiTheme="minorHAnsi" w:hAnsiTheme="minorHAnsi"/>
                <w:i/>
                <w:sz w:val="20"/>
                <w:szCs w:val="20"/>
              </w:rPr>
            </w:pPr>
            <w:r>
              <w:rPr>
                <w:rFonts w:asciiTheme="minorHAnsi" w:hAnsiTheme="minorHAnsi"/>
                <w:sz w:val="20"/>
                <w:szCs w:val="23"/>
              </w:rPr>
              <w:t>“</w:t>
            </w:r>
            <w:r w:rsidRPr="00310F00">
              <w:rPr>
                <w:rFonts w:asciiTheme="minorHAnsi" w:hAnsiTheme="minorHAnsi"/>
                <w:i/>
                <w:sz w:val="20"/>
                <w:szCs w:val="23"/>
              </w:rPr>
              <w:t xml:space="preserve">A practitioner must be designated to take lead responsibility for safeguarding children in every setting. Childminders must take the lead responsibility themselves. The lead practitioner is responsible for liaison with local statutory children's services agencies, and with the LSCB. They must provide support, advice and guidance to any other staff on an ongoing basis, and on any specific safeguarding issue as required. The lead practitioner must attend a </w:t>
            </w:r>
            <w:r w:rsidRPr="00310F00">
              <w:rPr>
                <w:rFonts w:asciiTheme="minorHAnsi" w:hAnsiTheme="minorHAnsi"/>
                <w:i/>
                <w:sz w:val="20"/>
                <w:szCs w:val="20"/>
              </w:rPr>
              <w:t>child protection training course that enables them to identify, understand and respond appropriately to signs of possible abuse and neglect (as described at paragraph 3.6)  “</w:t>
            </w:r>
          </w:p>
          <w:p w:rsidR="00310F00" w:rsidRPr="00310F00" w:rsidRDefault="00310F00" w:rsidP="00310F00">
            <w:pPr>
              <w:pStyle w:val="Default"/>
              <w:rPr>
                <w:rFonts w:asciiTheme="minorHAnsi" w:hAnsiTheme="minorHAnsi"/>
                <w:b/>
                <w:sz w:val="20"/>
                <w:szCs w:val="23"/>
              </w:rPr>
            </w:pPr>
            <w:r w:rsidRPr="00310F00">
              <w:rPr>
                <w:rFonts w:asciiTheme="minorHAnsi" w:hAnsiTheme="minorHAnsi"/>
                <w:b/>
                <w:sz w:val="20"/>
                <w:szCs w:val="23"/>
              </w:rPr>
              <w:t>EYFS Statutory Framework 2017</w:t>
            </w:r>
          </w:p>
          <w:p w:rsidR="008601C3" w:rsidRDefault="008601C3" w:rsidP="00681BE7">
            <w:pPr>
              <w:rPr>
                <w:rFonts w:eastAsia="Times New Roman" w:cs="Arial"/>
                <w:color w:val="9BBB59" w:themeColor="accent3"/>
                <w:sz w:val="20"/>
                <w:szCs w:val="20"/>
                <w:lang w:eastAsia="en-GB"/>
              </w:rPr>
            </w:pPr>
          </w:p>
          <w:p w:rsidR="00072C5A" w:rsidRDefault="00072C5A" w:rsidP="00681BE7">
            <w:pPr>
              <w:rPr>
                <w:rFonts w:eastAsia="Times New Roman" w:cs="Arial"/>
                <w:sz w:val="20"/>
                <w:szCs w:val="20"/>
                <w:lang w:eastAsia="en-GB"/>
              </w:rPr>
            </w:pPr>
            <w:r>
              <w:rPr>
                <w:rFonts w:eastAsia="Times New Roman" w:cs="Arial"/>
                <w:sz w:val="20"/>
                <w:szCs w:val="20"/>
                <w:lang w:eastAsia="en-GB"/>
              </w:rPr>
              <w:t xml:space="preserve">The Designated Safeguarding Lead (DSL) is the identified member of staff, with allocated responsibility for safeguarding within the setting. There should be a </w:t>
            </w:r>
            <w:r w:rsidRPr="00A238F0">
              <w:rPr>
                <w:rFonts w:eastAsia="Times New Roman" w:cs="Arial"/>
                <w:b/>
                <w:sz w:val="20"/>
                <w:szCs w:val="20"/>
                <w:lang w:eastAsia="en-GB"/>
              </w:rPr>
              <w:t>deputy DSL</w:t>
            </w:r>
            <w:r>
              <w:rPr>
                <w:rFonts w:eastAsia="Times New Roman" w:cs="Arial"/>
                <w:sz w:val="20"/>
                <w:szCs w:val="20"/>
                <w:lang w:eastAsia="en-GB"/>
              </w:rPr>
              <w:t xml:space="preserve"> identified, to take lead in the absence of the DSL. </w:t>
            </w:r>
          </w:p>
          <w:p w:rsidR="00072C5A" w:rsidRDefault="00072C5A" w:rsidP="00681BE7">
            <w:pPr>
              <w:rPr>
                <w:rFonts w:eastAsia="Times New Roman" w:cs="Arial"/>
                <w:sz w:val="20"/>
                <w:szCs w:val="20"/>
                <w:lang w:eastAsia="en-GB"/>
              </w:rPr>
            </w:pPr>
          </w:p>
          <w:p w:rsidR="00A238F0" w:rsidRPr="00A238F0" w:rsidRDefault="00072C5A" w:rsidP="00A238F0">
            <w:pPr>
              <w:rPr>
                <w:rFonts w:cs="Arial"/>
                <w:b/>
                <w:color w:val="000000"/>
                <w:sz w:val="20"/>
                <w:szCs w:val="23"/>
              </w:rPr>
            </w:pPr>
            <w:r>
              <w:rPr>
                <w:rFonts w:eastAsia="Times New Roman" w:cs="Arial"/>
                <w:sz w:val="20"/>
                <w:szCs w:val="20"/>
                <w:lang w:eastAsia="en-GB"/>
              </w:rPr>
              <w:t>The DSL shou</w:t>
            </w:r>
            <w:r w:rsidR="00A238F0">
              <w:rPr>
                <w:rFonts w:eastAsia="Times New Roman" w:cs="Arial"/>
                <w:sz w:val="20"/>
                <w:szCs w:val="20"/>
                <w:lang w:eastAsia="en-GB"/>
              </w:rPr>
              <w:t>ld take lead responsibility for s</w:t>
            </w:r>
            <w:r w:rsidRPr="00A238F0">
              <w:rPr>
                <w:rFonts w:cs="Arial"/>
                <w:color w:val="000000"/>
                <w:sz w:val="20"/>
                <w:szCs w:val="23"/>
              </w:rPr>
              <w:t>upport</w:t>
            </w:r>
            <w:r w:rsidR="00585BCE" w:rsidRPr="00A238F0">
              <w:rPr>
                <w:rFonts w:cs="Arial"/>
                <w:color w:val="000000"/>
                <w:sz w:val="20"/>
                <w:szCs w:val="23"/>
              </w:rPr>
              <w:t>ing</w:t>
            </w:r>
            <w:r w:rsidRPr="00A238F0">
              <w:rPr>
                <w:rFonts w:cs="Arial"/>
                <w:color w:val="000000"/>
                <w:sz w:val="20"/>
                <w:szCs w:val="23"/>
              </w:rPr>
              <w:t xml:space="preserve"> staff on child welfare and child protection matters</w:t>
            </w:r>
            <w:r w:rsidR="00A238F0">
              <w:rPr>
                <w:rFonts w:cs="Arial"/>
                <w:color w:val="000000"/>
                <w:sz w:val="20"/>
                <w:szCs w:val="23"/>
              </w:rPr>
              <w:t>, m</w:t>
            </w:r>
            <w:r w:rsidR="00585BCE">
              <w:rPr>
                <w:rFonts w:cs="Arial"/>
                <w:color w:val="000000"/>
                <w:sz w:val="20"/>
                <w:szCs w:val="23"/>
              </w:rPr>
              <w:t>aking</w:t>
            </w:r>
            <w:r w:rsidRPr="00585BCE">
              <w:rPr>
                <w:rFonts w:cs="Arial"/>
                <w:color w:val="000000"/>
                <w:sz w:val="20"/>
                <w:szCs w:val="23"/>
              </w:rPr>
              <w:t xml:space="preserve"> </w:t>
            </w:r>
            <w:r w:rsidRPr="00A238F0">
              <w:rPr>
                <w:rFonts w:cs="Arial"/>
                <w:b/>
                <w:color w:val="000000"/>
                <w:sz w:val="20"/>
                <w:szCs w:val="23"/>
              </w:rPr>
              <w:lastRenderedPageBreak/>
              <w:t>appropriate assessments</w:t>
            </w:r>
            <w:r w:rsidRPr="00585BCE">
              <w:rPr>
                <w:rFonts w:cs="Arial"/>
                <w:color w:val="000000"/>
                <w:sz w:val="20"/>
                <w:szCs w:val="23"/>
              </w:rPr>
              <w:t xml:space="preserve"> of children’s needs in order to make </w:t>
            </w:r>
            <w:r w:rsidRPr="00A238F0">
              <w:rPr>
                <w:rFonts w:cs="Arial"/>
                <w:b/>
                <w:color w:val="000000"/>
                <w:sz w:val="20"/>
                <w:szCs w:val="23"/>
              </w:rPr>
              <w:t>accurate and timely referrals</w:t>
            </w:r>
            <w:r w:rsidR="00A238F0" w:rsidRPr="00A238F0">
              <w:rPr>
                <w:rFonts w:cs="Arial"/>
                <w:b/>
                <w:color w:val="000000"/>
                <w:sz w:val="20"/>
                <w:szCs w:val="23"/>
              </w:rPr>
              <w:t>.</w:t>
            </w:r>
          </w:p>
          <w:p w:rsidR="00072C5A" w:rsidRPr="00A238F0" w:rsidRDefault="00A238F0" w:rsidP="00A238F0">
            <w:pPr>
              <w:rPr>
                <w:rFonts w:cs="Arial"/>
                <w:b/>
                <w:color w:val="000000"/>
                <w:sz w:val="20"/>
                <w:szCs w:val="23"/>
              </w:rPr>
            </w:pPr>
            <w:r>
              <w:rPr>
                <w:rFonts w:cs="Arial"/>
                <w:color w:val="000000"/>
                <w:sz w:val="20"/>
                <w:szCs w:val="23"/>
              </w:rPr>
              <w:t>As DSL they should be confident and competent to</w:t>
            </w:r>
            <w:r w:rsidR="00072C5A" w:rsidRPr="00585BCE">
              <w:rPr>
                <w:rFonts w:cs="Arial"/>
                <w:color w:val="000000"/>
                <w:sz w:val="20"/>
                <w:szCs w:val="23"/>
              </w:rPr>
              <w:t xml:space="preserve"> take part in strategy discussions a</w:t>
            </w:r>
            <w:r>
              <w:rPr>
                <w:rFonts w:cs="Arial"/>
                <w:color w:val="000000"/>
                <w:sz w:val="20"/>
                <w:szCs w:val="23"/>
              </w:rPr>
              <w:t xml:space="preserve">nd other </w:t>
            </w:r>
            <w:proofErr w:type="gramStart"/>
            <w:r>
              <w:rPr>
                <w:rFonts w:cs="Arial"/>
                <w:color w:val="000000"/>
                <w:sz w:val="20"/>
                <w:szCs w:val="23"/>
              </w:rPr>
              <w:t>inter</w:t>
            </w:r>
            <w:proofErr w:type="gramEnd"/>
            <w:r>
              <w:rPr>
                <w:rFonts w:cs="Arial"/>
                <w:color w:val="000000"/>
                <w:sz w:val="20"/>
                <w:szCs w:val="23"/>
              </w:rPr>
              <w:t xml:space="preserve"> agency meetings, l</w:t>
            </w:r>
            <w:r w:rsidR="00585BCE">
              <w:rPr>
                <w:rFonts w:cs="Arial"/>
                <w:color w:val="000000"/>
                <w:sz w:val="20"/>
                <w:szCs w:val="23"/>
              </w:rPr>
              <w:t>iaising</w:t>
            </w:r>
            <w:r w:rsidR="00072C5A" w:rsidRPr="00585BCE">
              <w:rPr>
                <w:rFonts w:cs="Arial"/>
                <w:color w:val="000000"/>
                <w:sz w:val="20"/>
                <w:szCs w:val="23"/>
              </w:rPr>
              <w:t xml:space="preserve"> with other agencies in line with </w:t>
            </w:r>
            <w:r w:rsidR="00072C5A" w:rsidRPr="00A238F0">
              <w:rPr>
                <w:rFonts w:cs="Arial"/>
                <w:b/>
                <w:color w:val="000000"/>
                <w:sz w:val="20"/>
                <w:szCs w:val="23"/>
              </w:rPr>
              <w:t>Working Togeth</w:t>
            </w:r>
            <w:r w:rsidR="00585BCE" w:rsidRPr="00A238F0">
              <w:rPr>
                <w:rFonts w:cs="Arial"/>
                <w:b/>
                <w:color w:val="000000"/>
                <w:sz w:val="20"/>
                <w:szCs w:val="23"/>
              </w:rPr>
              <w:t>er to Safeguarding Children 2018</w:t>
            </w:r>
            <w:r w:rsidR="00072C5A" w:rsidRPr="00585BCE">
              <w:rPr>
                <w:rFonts w:cs="Arial"/>
                <w:color w:val="000000"/>
                <w:sz w:val="20"/>
                <w:szCs w:val="23"/>
              </w:rPr>
              <w:t xml:space="preserve"> and </w:t>
            </w:r>
            <w:r w:rsidR="00585BCE" w:rsidRPr="00A238F0">
              <w:rPr>
                <w:rFonts w:cs="Arial"/>
                <w:b/>
                <w:color w:val="000000"/>
                <w:sz w:val="20"/>
                <w:szCs w:val="23"/>
              </w:rPr>
              <w:t xml:space="preserve">LLR LSCB </w:t>
            </w:r>
            <w:r>
              <w:rPr>
                <w:rFonts w:cs="Arial"/>
                <w:b/>
                <w:color w:val="000000"/>
                <w:sz w:val="20"/>
                <w:szCs w:val="23"/>
              </w:rPr>
              <w:t>P</w:t>
            </w:r>
            <w:r w:rsidR="00072C5A" w:rsidRPr="00A238F0">
              <w:rPr>
                <w:rFonts w:cs="Arial"/>
                <w:b/>
                <w:color w:val="000000"/>
                <w:sz w:val="20"/>
                <w:szCs w:val="23"/>
              </w:rPr>
              <w:t>rocedures</w:t>
            </w:r>
            <w:r>
              <w:rPr>
                <w:rFonts w:cs="Arial"/>
                <w:b/>
                <w:color w:val="000000"/>
                <w:sz w:val="20"/>
                <w:szCs w:val="23"/>
              </w:rPr>
              <w:t xml:space="preserve"> Online</w:t>
            </w:r>
            <w:r w:rsidR="00072C5A" w:rsidRPr="00A238F0">
              <w:rPr>
                <w:rFonts w:cs="Arial"/>
                <w:b/>
                <w:color w:val="000000"/>
                <w:sz w:val="20"/>
                <w:szCs w:val="23"/>
              </w:rPr>
              <w:t xml:space="preserve">. </w:t>
            </w:r>
          </w:p>
          <w:p w:rsidR="00A238F0" w:rsidRDefault="00A238F0" w:rsidP="00A238F0">
            <w:pPr>
              <w:autoSpaceDE w:val="0"/>
              <w:autoSpaceDN w:val="0"/>
              <w:adjustRightInd w:val="0"/>
              <w:spacing w:after="157"/>
              <w:rPr>
                <w:rFonts w:cs="Arial"/>
                <w:color w:val="000000"/>
                <w:sz w:val="20"/>
                <w:szCs w:val="23"/>
              </w:rPr>
            </w:pPr>
          </w:p>
          <w:p w:rsidR="00585BCE" w:rsidRPr="00A238F0" w:rsidRDefault="00A238F0" w:rsidP="00A238F0">
            <w:pPr>
              <w:autoSpaceDE w:val="0"/>
              <w:autoSpaceDN w:val="0"/>
              <w:adjustRightInd w:val="0"/>
              <w:spacing w:after="157"/>
              <w:rPr>
                <w:rFonts w:cs="Arial"/>
                <w:color w:val="000000"/>
                <w:sz w:val="20"/>
                <w:szCs w:val="23"/>
              </w:rPr>
            </w:pPr>
            <w:r>
              <w:rPr>
                <w:rFonts w:cs="Arial"/>
                <w:color w:val="000000"/>
                <w:sz w:val="20"/>
                <w:szCs w:val="23"/>
              </w:rPr>
              <w:t>The DSL should take the lead on e</w:t>
            </w:r>
            <w:r w:rsidR="00585BCE" w:rsidRPr="00A238F0">
              <w:rPr>
                <w:rFonts w:cs="Arial"/>
                <w:color w:val="000000"/>
                <w:sz w:val="20"/>
                <w:szCs w:val="23"/>
              </w:rPr>
              <w:t xml:space="preserve">nsuring that the settings safeguarding and child protection </w:t>
            </w:r>
            <w:r w:rsidR="00585BCE" w:rsidRPr="00A238F0">
              <w:rPr>
                <w:rFonts w:cs="Arial"/>
                <w:b/>
                <w:color w:val="000000"/>
                <w:sz w:val="20"/>
                <w:szCs w:val="23"/>
              </w:rPr>
              <w:t>policies and procedures</w:t>
            </w:r>
            <w:r w:rsidR="00585BCE" w:rsidRPr="00A238F0">
              <w:rPr>
                <w:rFonts w:cs="Arial"/>
                <w:color w:val="000000"/>
                <w:sz w:val="20"/>
                <w:szCs w:val="23"/>
              </w:rPr>
              <w:t xml:space="preserve"> are reviewed and up dated annually</w:t>
            </w:r>
            <w:r>
              <w:rPr>
                <w:rFonts w:cs="Arial"/>
                <w:color w:val="000000"/>
                <w:sz w:val="20"/>
                <w:szCs w:val="23"/>
              </w:rPr>
              <w:t xml:space="preserve"> with staff and parent involvement</w:t>
            </w:r>
            <w:r w:rsidR="00585BCE" w:rsidRPr="00A238F0">
              <w:rPr>
                <w:rFonts w:cs="Arial"/>
                <w:color w:val="000000"/>
                <w:sz w:val="20"/>
                <w:szCs w:val="23"/>
              </w:rPr>
              <w:t>.</w:t>
            </w:r>
          </w:p>
          <w:p w:rsidR="00585BCE" w:rsidRDefault="00A238F0" w:rsidP="00A238F0">
            <w:pPr>
              <w:autoSpaceDE w:val="0"/>
              <w:autoSpaceDN w:val="0"/>
              <w:adjustRightInd w:val="0"/>
              <w:spacing w:after="157"/>
              <w:rPr>
                <w:rFonts w:cs="Arial"/>
                <w:color w:val="000000"/>
                <w:sz w:val="20"/>
                <w:szCs w:val="23"/>
              </w:rPr>
            </w:pPr>
            <w:r>
              <w:rPr>
                <w:rFonts w:cs="Arial"/>
                <w:color w:val="000000"/>
                <w:sz w:val="20"/>
                <w:szCs w:val="23"/>
              </w:rPr>
              <w:t>They should ensure</w:t>
            </w:r>
            <w:r w:rsidR="00585BCE" w:rsidRPr="00A238F0">
              <w:rPr>
                <w:rFonts w:cs="Arial"/>
                <w:color w:val="000000"/>
                <w:sz w:val="20"/>
                <w:szCs w:val="23"/>
              </w:rPr>
              <w:t xml:space="preserve"> that all staff, volunteers, students and committee members have a copy of safeguarding policies and procedures and </w:t>
            </w:r>
            <w:r>
              <w:rPr>
                <w:rFonts w:cs="Arial"/>
                <w:color w:val="000000"/>
                <w:sz w:val="20"/>
                <w:szCs w:val="23"/>
              </w:rPr>
              <w:t>monitor that</w:t>
            </w:r>
            <w:r w:rsidR="00585BCE" w:rsidRPr="00A238F0">
              <w:rPr>
                <w:rFonts w:cs="Arial"/>
                <w:color w:val="000000"/>
                <w:sz w:val="20"/>
                <w:szCs w:val="23"/>
              </w:rPr>
              <w:t xml:space="preserve"> these are both understood and practised by all. </w:t>
            </w:r>
          </w:p>
          <w:p w:rsidR="00A238F0" w:rsidRPr="00A238F0" w:rsidRDefault="00A238F0" w:rsidP="00A238F0">
            <w:pPr>
              <w:autoSpaceDE w:val="0"/>
              <w:autoSpaceDN w:val="0"/>
              <w:adjustRightInd w:val="0"/>
              <w:spacing w:after="157"/>
              <w:rPr>
                <w:rFonts w:cs="Arial"/>
                <w:color w:val="000000"/>
                <w:sz w:val="20"/>
                <w:szCs w:val="23"/>
              </w:rPr>
            </w:pPr>
            <w:r>
              <w:rPr>
                <w:rFonts w:cs="Arial"/>
                <w:color w:val="000000"/>
                <w:sz w:val="20"/>
                <w:szCs w:val="23"/>
              </w:rPr>
              <w:t xml:space="preserve">The DSL should take lead on supporting and monitoring effective implementation of the </w:t>
            </w:r>
            <w:r w:rsidRPr="00A238F0">
              <w:rPr>
                <w:rFonts w:cs="Arial"/>
                <w:b/>
                <w:color w:val="000000"/>
                <w:sz w:val="20"/>
                <w:szCs w:val="23"/>
              </w:rPr>
              <w:t>LLR LSCB Safeguarding Competency Framework</w:t>
            </w:r>
            <w:r>
              <w:rPr>
                <w:rFonts w:cs="Arial"/>
                <w:color w:val="000000"/>
                <w:sz w:val="20"/>
                <w:szCs w:val="23"/>
              </w:rPr>
              <w:t>.</w:t>
            </w:r>
          </w:p>
          <w:p w:rsidR="00072C5A" w:rsidRPr="00072C5A" w:rsidRDefault="00072C5A" w:rsidP="00A238F0">
            <w:pPr>
              <w:autoSpaceDE w:val="0"/>
              <w:autoSpaceDN w:val="0"/>
              <w:adjustRightInd w:val="0"/>
              <w:spacing w:after="157"/>
              <w:rPr>
                <w:rFonts w:eastAsia="Times New Roman" w:cs="Arial"/>
                <w:sz w:val="20"/>
                <w:szCs w:val="20"/>
                <w:lang w:eastAsia="en-GB"/>
              </w:rPr>
            </w:pPr>
          </w:p>
        </w:tc>
        <w:tc>
          <w:tcPr>
            <w:tcW w:w="3510" w:type="dxa"/>
          </w:tcPr>
          <w:p w:rsidR="009840B7" w:rsidRDefault="009840B7" w:rsidP="009840B7">
            <w:pPr>
              <w:ind w:left="360"/>
              <w:rPr>
                <w:sz w:val="20"/>
                <w:szCs w:val="20"/>
              </w:rPr>
            </w:pPr>
          </w:p>
          <w:p w:rsidR="00122C7A" w:rsidRDefault="00310F00" w:rsidP="00310F00">
            <w:pPr>
              <w:pStyle w:val="ListParagraph"/>
              <w:numPr>
                <w:ilvl w:val="0"/>
                <w:numId w:val="6"/>
              </w:numPr>
              <w:rPr>
                <w:sz w:val="20"/>
                <w:szCs w:val="20"/>
              </w:rPr>
            </w:pPr>
            <w:r>
              <w:rPr>
                <w:sz w:val="20"/>
                <w:szCs w:val="20"/>
              </w:rPr>
              <w:t xml:space="preserve">Is there a designated safeguarding lead identified within the setting? </w:t>
            </w:r>
          </w:p>
          <w:p w:rsidR="00310F00" w:rsidRDefault="00310F00" w:rsidP="00310F00">
            <w:pPr>
              <w:pStyle w:val="ListParagraph"/>
              <w:numPr>
                <w:ilvl w:val="0"/>
                <w:numId w:val="6"/>
              </w:numPr>
              <w:rPr>
                <w:sz w:val="20"/>
                <w:szCs w:val="20"/>
              </w:rPr>
            </w:pPr>
            <w:proofErr w:type="gramStart"/>
            <w:r>
              <w:rPr>
                <w:sz w:val="20"/>
                <w:szCs w:val="20"/>
              </w:rPr>
              <w:t>Do</w:t>
            </w:r>
            <w:proofErr w:type="gramEnd"/>
            <w:r w:rsidR="00072C5A">
              <w:rPr>
                <w:sz w:val="20"/>
                <w:szCs w:val="20"/>
              </w:rPr>
              <w:t xml:space="preserve"> all staff know </w:t>
            </w:r>
            <w:r>
              <w:rPr>
                <w:sz w:val="20"/>
                <w:szCs w:val="20"/>
              </w:rPr>
              <w:t>w</w:t>
            </w:r>
            <w:r w:rsidR="00072C5A">
              <w:rPr>
                <w:sz w:val="20"/>
                <w:szCs w:val="20"/>
              </w:rPr>
              <w:t>ho the identified DSL i</w:t>
            </w:r>
            <w:r>
              <w:rPr>
                <w:sz w:val="20"/>
                <w:szCs w:val="20"/>
              </w:rPr>
              <w:t>s and what their role entails?</w:t>
            </w:r>
          </w:p>
          <w:p w:rsidR="00072C5A" w:rsidRDefault="00310F00" w:rsidP="00310F00">
            <w:pPr>
              <w:pStyle w:val="ListParagraph"/>
              <w:numPr>
                <w:ilvl w:val="0"/>
                <w:numId w:val="6"/>
              </w:numPr>
              <w:rPr>
                <w:sz w:val="20"/>
                <w:szCs w:val="20"/>
              </w:rPr>
            </w:pPr>
            <w:r>
              <w:rPr>
                <w:sz w:val="20"/>
                <w:szCs w:val="20"/>
              </w:rPr>
              <w:t>Is the DSL the manager of the provision? If not, how do they work alongside the manager/leader to ensure that staff are well informed regar</w:t>
            </w:r>
            <w:r w:rsidR="00072C5A">
              <w:rPr>
                <w:sz w:val="20"/>
                <w:szCs w:val="20"/>
              </w:rPr>
              <w:t>ding safeguarding and that</w:t>
            </w:r>
            <w:r>
              <w:rPr>
                <w:sz w:val="20"/>
                <w:szCs w:val="20"/>
              </w:rPr>
              <w:t xml:space="preserve"> safeguarding practice</w:t>
            </w:r>
            <w:r w:rsidR="00072C5A">
              <w:rPr>
                <w:sz w:val="20"/>
                <w:szCs w:val="20"/>
              </w:rPr>
              <w:t xml:space="preserve"> is effectively monitored?</w:t>
            </w:r>
          </w:p>
          <w:p w:rsidR="00072C5A" w:rsidRDefault="00072C5A" w:rsidP="00310F00">
            <w:pPr>
              <w:pStyle w:val="ListParagraph"/>
              <w:numPr>
                <w:ilvl w:val="0"/>
                <w:numId w:val="6"/>
              </w:numPr>
              <w:rPr>
                <w:sz w:val="20"/>
                <w:szCs w:val="20"/>
              </w:rPr>
            </w:pPr>
            <w:r>
              <w:rPr>
                <w:sz w:val="20"/>
                <w:szCs w:val="20"/>
              </w:rPr>
              <w:t>Is there an identified deputy DSL that will take lead responsibility in the absence of the DSL? If so, how well established is this role?</w:t>
            </w:r>
          </w:p>
          <w:p w:rsidR="00072C5A" w:rsidRDefault="00072C5A" w:rsidP="00310F00">
            <w:pPr>
              <w:pStyle w:val="ListParagraph"/>
              <w:numPr>
                <w:ilvl w:val="0"/>
                <w:numId w:val="6"/>
              </w:numPr>
              <w:rPr>
                <w:sz w:val="20"/>
                <w:szCs w:val="20"/>
              </w:rPr>
            </w:pPr>
            <w:r>
              <w:rPr>
                <w:sz w:val="20"/>
                <w:szCs w:val="20"/>
              </w:rPr>
              <w:t>Has the DSL attended an appropriate child protection course as detailed in the EYFS statutory framework? If so, how has this training been embedded?</w:t>
            </w:r>
          </w:p>
          <w:p w:rsidR="00072C5A" w:rsidRDefault="00072C5A" w:rsidP="00310F00">
            <w:pPr>
              <w:pStyle w:val="ListParagraph"/>
              <w:numPr>
                <w:ilvl w:val="0"/>
                <w:numId w:val="6"/>
              </w:numPr>
              <w:rPr>
                <w:sz w:val="20"/>
                <w:szCs w:val="20"/>
              </w:rPr>
            </w:pPr>
            <w:r>
              <w:rPr>
                <w:sz w:val="20"/>
                <w:szCs w:val="20"/>
              </w:rPr>
              <w:t>Has the DSL/Deputy DSL attended any specific DSL training? If so, how has this been embedded into practice?</w:t>
            </w:r>
          </w:p>
          <w:p w:rsidR="00072C5A" w:rsidRDefault="00072C5A" w:rsidP="00310F00">
            <w:pPr>
              <w:pStyle w:val="ListParagraph"/>
              <w:numPr>
                <w:ilvl w:val="0"/>
                <w:numId w:val="6"/>
              </w:numPr>
              <w:rPr>
                <w:sz w:val="20"/>
                <w:szCs w:val="20"/>
              </w:rPr>
            </w:pPr>
            <w:r>
              <w:rPr>
                <w:sz w:val="20"/>
                <w:szCs w:val="20"/>
              </w:rPr>
              <w:t xml:space="preserve">How does the DSL ensure that </w:t>
            </w:r>
            <w:r>
              <w:rPr>
                <w:sz w:val="20"/>
                <w:szCs w:val="20"/>
              </w:rPr>
              <w:lastRenderedPageBreak/>
              <w:t>they are kept up to date with changes to national policies and legislation?</w:t>
            </w:r>
          </w:p>
          <w:p w:rsidR="00072C5A" w:rsidRDefault="00072C5A" w:rsidP="00310F00">
            <w:pPr>
              <w:pStyle w:val="ListParagraph"/>
              <w:numPr>
                <w:ilvl w:val="0"/>
                <w:numId w:val="6"/>
              </w:numPr>
              <w:rPr>
                <w:sz w:val="20"/>
                <w:szCs w:val="20"/>
              </w:rPr>
            </w:pPr>
            <w:r>
              <w:rPr>
                <w:sz w:val="20"/>
                <w:szCs w:val="20"/>
              </w:rPr>
              <w:t>What processes are in place for the DSL to effectively cascade safeguarding updates to the team?</w:t>
            </w:r>
          </w:p>
          <w:p w:rsidR="00072C5A" w:rsidRDefault="00072C5A" w:rsidP="00310F00">
            <w:pPr>
              <w:pStyle w:val="ListParagraph"/>
              <w:numPr>
                <w:ilvl w:val="0"/>
                <w:numId w:val="6"/>
              </w:numPr>
              <w:rPr>
                <w:sz w:val="20"/>
                <w:szCs w:val="20"/>
              </w:rPr>
            </w:pPr>
            <w:r>
              <w:rPr>
                <w:sz w:val="20"/>
                <w:szCs w:val="20"/>
              </w:rPr>
              <w:t>What opportunities are available for practitioners to discuss any concerns they may have with their DSL?</w:t>
            </w:r>
          </w:p>
          <w:p w:rsidR="00072C5A" w:rsidRDefault="00072C5A" w:rsidP="00310F00">
            <w:pPr>
              <w:pStyle w:val="ListParagraph"/>
              <w:numPr>
                <w:ilvl w:val="0"/>
                <w:numId w:val="6"/>
              </w:numPr>
              <w:rPr>
                <w:sz w:val="20"/>
                <w:szCs w:val="20"/>
              </w:rPr>
            </w:pPr>
            <w:r>
              <w:rPr>
                <w:sz w:val="20"/>
                <w:szCs w:val="20"/>
              </w:rPr>
              <w:t>Is the DSL confident in their role and clear about the action they should take should a safeguarding concern be raised?</w:t>
            </w:r>
          </w:p>
          <w:p w:rsidR="00072C5A" w:rsidRDefault="00072C5A" w:rsidP="00310F00">
            <w:pPr>
              <w:pStyle w:val="ListParagraph"/>
              <w:numPr>
                <w:ilvl w:val="0"/>
                <w:numId w:val="6"/>
              </w:numPr>
              <w:rPr>
                <w:sz w:val="20"/>
                <w:szCs w:val="20"/>
              </w:rPr>
            </w:pPr>
            <w:r>
              <w:rPr>
                <w:sz w:val="20"/>
                <w:szCs w:val="20"/>
              </w:rPr>
              <w:t>Is the DSL familiar with local services and teams that are accessible should they need to report a concern? If so, review whether contact details are up to date and readily available.</w:t>
            </w:r>
          </w:p>
          <w:p w:rsidR="00A238F0" w:rsidRDefault="00072C5A" w:rsidP="00A238F0">
            <w:pPr>
              <w:pStyle w:val="ListParagraph"/>
              <w:numPr>
                <w:ilvl w:val="0"/>
                <w:numId w:val="6"/>
              </w:numPr>
              <w:rPr>
                <w:sz w:val="20"/>
                <w:szCs w:val="20"/>
              </w:rPr>
            </w:pPr>
            <w:r>
              <w:rPr>
                <w:sz w:val="20"/>
                <w:szCs w:val="20"/>
              </w:rPr>
              <w:t>Does the DSL feel confident in challenging safeguarding practice and highlighting areas identified as requiring improvement? If so, how is this achieved?</w:t>
            </w:r>
          </w:p>
          <w:p w:rsidR="00310F00" w:rsidRPr="00A238F0" w:rsidRDefault="00A238F0" w:rsidP="00A238F0">
            <w:pPr>
              <w:pStyle w:val="ListParagraph"/>
              <w:numPr>
                <w:ilvl w:val="0"/>
                <w:numId w:val="6"/>
              </w:numPr>
              <w:rPr>
                <w:sz w:val="20"/>
                <w:szCs w:val="20"/>
              </w:rPr>
            </w:pPr>
            <w:r w:rsidRPr="00A238F0">
              <w:rPr>
                <w:sz w:val="20"/>
                <w:szCs w:val="20"/>
              </w:rPr>
              <w:t xml:space="preserve">How does the DSL support staff in identifying appropriate safeguarding CPD opportunities tailored to their training needs? </w:t>
            </w:r>
          </w:p>
        </w:tc>
        <w:tc>
          <w:tcPr>
            <w:tcW w:w="4428" w:type="dxa"/>
          </w:tcPr>
          <w:p w:rsidR="00047267" w:rsidRPr="006E49F9" w:rsidRDefault="00047267" w:rsidP="003F7D3D">
            <w:pPr>
              <w:rPr>
                <w:color w:val="A6A6A6" w:themeColor="background1" w:themeShade="A6"/>
                <w:sz w:val="20"/>
                <w:szCs w:val="20"/>
              </w:rPr>
            </w:pPr>
          </w:p>
          <w:p w:rsidR="00D24539" w:rsidRPr="00681BE7" w:rsidRDefault="00681BE7" w:rsidP="00681BE7">
            <w:pPr>
              <w:rPr>
                <w:b/>
                <w:sz w:val="20"/>
                <w:szCs w:val="20"/>
              </w:rPr>
            </w:pPr>
            <w:r>
              <w:rPr>
                <w:b/>
                <w:sz w:val="20"/>
                <w:szCs w:val="20"/>
              </w:rPr>
              <w:t>Q C</w:t>
            </w:r>
            <w:r w:rsidRPr="00681BE7">
              <w:rPr>
                <w:b/>
                <w:sz w:val="20"/>
                <w:szCs w:val="20"/>
              </w:rPr>
              <w:t>ards:</w:t>
            </w:r>
          </w:p>
          <w:p w:rsidR="00A238F0" w:rsidRPr="00C30AF2" w:rsidRDefault="00C30AF2" w:rsidP="00681BE7">
            <w:pPr>
              <w:rPr>
                <w:sz w:val="20"/>
                <w:szCs w:val="20"/>
              </w:rPr>
            </w:pPr>
            <w:r>
              <w:rPr>
                <w:sz w:val="20"/>
                <w:szCs w:val="20"/>
              </w:rPr>
              <w:t>S</w:t>
            </w:r>
            <w:r w:rsidR="00245FE9" w:rsidRPr="00C30AF2">
              <w:rPr>
                <w:sz w:val="20"/>
                <w:szCs w:val="20"/>
              </w:rPr>
              <w:t>afeguarding</w:t>
            </w:r>
            <w:r>
              <w:rPr>
                <w:sz w:val="20"/>
                <w:szCs w:val="20"/>
              </w:rPr>
              <w:t xml:space="preserve"> Q Card section – all. </w:t>
            </w:r>
          </w:p>
          <w:p w:rsidR="00A238F0" w:rsidRPr="00C30AF2" w:rsidRDefault="00A238F0" w:rsidP="00681BE7">
            <w:pPr>
              <w:rPr>
                <w:sz w:val="20"/>
                <w:szCs w:val="20"/>
              </w:rPr>
            </w:pPr>
            <w:r w:rsidRPr="00C30AF2">
              <w:rPr>
                <w:sz w:val="20"/>
                <w:szCs w:val="20"/>
              </w:rPr>
              <w:t>CPD opportunities</w:t>
            </w:r>
          </w:p>
          <w:p w:rsidR="00A238F0" w:rsidRPr="00C30AF2" w:rsidRDefault="00A238F0" w:rsidP="00681BE7">
            <w:pPr>
              <w:rPr>
                <w:sz w:val="20"/>
                <w:szCs w:val="20"/>
              </w:rPr>
            </w:pPr>
            <w:r w:rsidRPr="00C30AF2">
              <w:rPr>
                <w:sz w:val="20"/>
                <w:szCs w:val="20"/>
              </w:rPr>
              <w:t>Effective communication</w:t>
            </w:r>
          </w:p>
          <w:p w:rsidR="00245FE9" w:rsidRPr="00C30AF2" w:rsidRDefault="00245FE9" w:rsidP="00681BE7">
            <w:pPr>
              <w:rPr>
                <w:sz w:val="20"/>
                <w:szCs w:val="20"/>
              </w:rPr>
            </w:pPr>
            <w:r w:rsidRPr="00C30AF2">
              <w:rPr>
                <w:sz w:val="20"/>
                <w:szCs w:val="20"/>
              </w:rPr>
              <w:t>Recruitment procedures</w:t>
            </w:r>
          </w:p>
          <w:p w:rsidR="00245FE9" w:rsidRDefault="00245FE9" w:rsidP="00681BE7">
            <w:pPr>
              <w:rPr>
                <w:sz w:val="20"/>
                <w:szCs w:val="20"/>
              </w:rPr>
            </w:pPr>
            <w:r w:rsidRPr="00C30AF2">
              <w:rPr>
                <w:sz w:val="20"/>
                <w:szCs w:val="20"/>
              </w:rPr>
              <w:t>Staff Induction</w:t>
            </w:r>
          </w:p>
          <w:p w:rsidR="00681BE7" w:rsidRDefault="00681BE7" w:rsidP="00681BE7">
            <w:pPr>
              <w:rPr>
                <w:sz w:val="20"/>
                <w:szCs w:val="20"/>
              </w:rPr>
            </w:pPr>
          </w:p>
          <w:p w:rsidR="00681BE7" w:rsidRDefault="00681BE7" w:rsidP="00681BE7">
            <w:pPr>
              <w:rPr>
                <w:b/>
                <w:sz w:val="20"/>
                <w:szCs w:val="20"/>
              </w:rPr>
            </w:pPr>
            <w:r w:rsidRPr="00681BE7">
              <w:rPr>
                <w:b/>
                <w:sz w:val="20"/>
                <w:szCs w:val="20"/>
              </w:rPr>
              <w:t>Training:</w:t>
            </w:r>
          </w:p>
          <w:p w:rsidR="007A6119" w:rsidRPr="00681BE7" w:rsidRDefault="007A6119" w:rsidP="00681BE7">
            <w:pPr>
              <w:rPr>
                <w:b/>
                <w:sz w:val="20"/>
                <w:szCs w:val="20"/>
              </w:rPr>
            </w:pPr>
          </w:p>
          <w:p w:rsidR="007A6119" w:rsidRPr="007A6119" w:rsidRDefault="007A6119" w:rsidP="00681BE7">
            <w:pPr>
              <w:rPr>
                <w:b/>
                <w:sz w:val="20"/>
                <w:szCs w:val="20"/>
              </w:rPr>
            </w:pPr>
            <w:r w:rsidRPr="007A6119">
              <w:rPr>
                <w:b/>
                <w:sz w:val="20"/>
                <w:szCs w:val="20"/>
              </w:rPr>
              <w:t>LLR LSCB</w:t>
            </w:r>
          </w:p>
          <w:p w:rsidR="00681BE7" w:rsidRPr="007A6119" w:rsidRDefault="00906E76" w:rsidP="00681BE7">
            <w:pPr>
              <w:rPr>
                <w:sz w:val="20"/>
                <w:szCs w:val="20"/>
              </w:rPr>
            </w:pPr>
            <w:hyperlink r:id="rId9" w:history="1">
              <w:r w:rsidR="007A6119" w:rsidRPr="007A6119">
                <w:rPr>
                  <w:rStyle w:val="Hyperlink"/>
                  <w:sz w:val="20"/>
                  <w:szCs w:val="20"/>
                </w:rPr>
                <w:t>http://lrsb.org.uk/safeguarding-children-learning</w:t>
              </w:r>
            </w:hyperlink>
          </w:p>
          <w:p w:rsidR="007A6119" w:rsidRDefault="007A6119" w:rsidP="00681BE7">
            <w:pPr>
              <w:rPr>
                <w:sz w:val="20"/>
                <w:szCs w:val="20"/>
              </w:rPr>
            </w:pPr>
          </w:p>
          <w:p w:rsidR="007A6119" w:rsidRPr="007A6119" w:rsidRDefault="007A6119" w:rsidP="00681BE7">
            <w:pPr>
              <w:rPr>
                <w:b/>
                <w:sz w:val="20"/>
                <w:szCs w:val="20"/>
              </w:rPr>
            </w:pPr>
            <w:r w:rsidRPr="007A6119">
              <w:rPr>
                <w:b/>
                <w:sz w:val="20"/>
                <w:szCs w:val="20"/>
              </w:rPr>
              <w:t>Leicestershire County Council</w:t>
            </w:r>
          </w:p>
          <w:p w:rsidR="007A6119" w:rsidRDefault="00906E76" w:rsidP="00681BE7">
            <w:pPr>
              <w:rPr>
                <w:sz w:val="20"/>
                <w:szCs w:val="20"/>
              </w:rPr>
            </w:pPr>
            <w:hyperlink r:id="rId10" w:history="1">
              <w:r w:rsidR="007A6119" w:rsidRPr="00B04AE0">
                <w:rPr>
                  <w:rStyle w:val="Hyperlink"/>
                  <w:sz w:val="20"/>
                  <w:szCs w:val="20"/>
                </w:rPr>
                <w:t>https://www.eventbrite.co.uk/o/early-learning-and-childcare-service-17452958459</w:t>
              </w:r>
            </w:hyperlink>
          </w:p>
          <w:p w:rsidR="007A6119" w:rsidRDefault="007A6119" w:rsidP="00681BE7">
            <w:pPr>
              <w:rPr>
                <w:sz w:val="20"/>
                <w:szCs w:val="20"/>
              </w:rPr>
            </w:pPr>
          </w:p>
          <w:p w:rsidR="00681BE7" w:rsidRDefault="00681BE7" w:rsidP="00681BE7">
            <w:pPr>
              <w:rPr>
                <w:sz w:val="20"/>
                <w:szCs w:val="20"/>
              </w:rPr>
            </w:pPr>
          </w:p>
          <w:p w:rsidR="00681BE7" w:rsidRDefault="00681BE7" w:rsidP="00681BE7">
            <w:pPr>
              <w:rPr>
                <w:b/>
                <w:sz w:val="20"/>
                <w:szCs w:val="20"/>
              </w:rPr>
            </w:pPr>
            <w:r w:rsidRPr="00681BE7">
              <w:rPr>
                <w:b/>
                <w:sz w:val="20"/>
                <w:szCs w:val="20"/>
              </w:rPr>
              <w:t>Useful Links:</w:t>
            </w:r>
          </w:p>
          <w:p w:rsidR="00245FE9" w:rsidRPr="007A6119" w:rsidRDefault="00245FE9" w:rsidP="00681BE7">
            <w:pPr>
              <w:rPr>
                <w:b/>
                <w:sz w:val="20"/>
                <w:szCs w:val="20"/>
              </w:rPr>
            </w:pPr>
          </w:p>
          <w:p w:rsidR="00245FE9" w:rsidRPr="007A6119" w:rsidRDefault="00245FE9" w:rsidP="00681BE7">
            <w:pPr>
              <w:rPr>
                <w:b/>
                <w:sz w:val="20"/>
                <w:szCs w:val="20"/>
              </w:rPr>
            </w:pPr>
            <w:r w:rsidRPr="007A6119">
              <w:rPr>
                <w:b/>
                <w:sz w:val="20"/>
                <w:szCs w:val="20"/>
              </w:rPr>
              <w:t>LLR LSCB Safeguarding Competency Framework</w:t>
            </w:r>
          </w:p>
          <w:p w:rsidR="00245FE9" w:rsidRPr="007A6119" w:rsidRDefault="00906E76" w:rsidP="00681BE7">
            <w:pPr>
              <w:rPr>
                <w:sz w:val="20"/>
                <w:szCs w:val="20"/>
              </w:rPr>
            </w:pPr>
            <w:hyperlink r:id="rId11" w:history="1">
              <w:r w:rsidR="0083617D" w:rsidRPr="007A6119">
                <w:rPr>
                  <w:rStyle w:val="Hyperlink"/>
                  <w:sz w:val="20"/>
                  <w:szCs w:val="20"/>
                </w:rPr>
                <w:t>http://lrsb.org.uk/competency-framework-overview</w:t>
              </w:r>
            </w:hyperlink>
          </w:p>
          <w:p w:rsidR="007A6119" w:rsidRDefault="007A6119" w:rsidP="00681BE7">
            <w:pPr>
              <w:rPr>
                <w:b/>
                <w:sz w:val="20"/>
                <w:szCs w:val="20"/>
              </w:rPr>
            </w:pPr>
          </w:p>
          <w:p w:rsidR="00245FE9" w:rsidRPr="007A6119" w:rsidRDefault="00245FE9" w:rsidP="00681BE7">
            <w:pPr>
              <w:rPr>
                <w:b/>
                <w:sz w:val="20"/>
                <w:szCs w:val="20"/>
              </w:rPr>
            </w:pPr>
            <w:r w:rsidRPr="007A6119">
              <w:rPr>
                <w:b/>
                <w:sz w:val="20"/>
                <w:szCs w:val="20"/>
              </w:rPr>
              <w:t>Working together to Safeguarding Children 2018</w:t>
            </w:r>
          </w:p>
          <w:p w:rsidR="0083617D" w:rsidRPr="007A6119" w:rsidRDefault="00906E76" w:rsidP="00681BE7">
            <w:pPr>
              <w:rPr>
                <w:sz w:val="20"/>
                <w:szCs w:val="20"/>
              </w:rPr>
            </w:pPr>
            <w:hyperlink r:id="rId12" w:history="1">
              <w:r w:rsidR="0083617D" w:rsidRPr="007A6119">
                <w:rPr>
                  <w:rStyle w:val="Hyperlink"/>
                  <w:sz w:val="20"/>
                  <w:szCs w:val="20"/>
                </w:rPr>
                <w:t>https://www.gov.uk/government/publications/working-together-to-safeguard-children--2</w:t>
              </w:r>
            </w:hyperlink>
          </w:p>
          <w:p w:rsidR="00245FE9" w:rsidRPr="007A6119" w:rsidRDefault="00245FE9" w:rsidP="00681BE7">
            <w:pPr>
              <w:rPr>
                <w:sz w:val="20"/>
                <w:szCs w:val="20"/>
              </w:rPr>
            </w:pPr>
          </w:p>
          <w:p w:rsidR="00245FE9" w:rsidRPr="007A6119" w:rsidRDefault="00245FE9" w:rsidP="00681BE7">
            <w:pPr>
              <w:rPr>
                <w:b/>
                <w:sz w:val="20"/>
                <w:szCs w:val="20"/>
              </w:rPr>
            </w:pPr>
            <w:r w:rsidRPr="007A6119">
              <w:rPr>
                <w:b/>
                <w:sz w:val="20"/>
                <w:szCs w:val="20"/>
              </w:rPr>
              <w:t>EYFS Statutory Framework</w:t>
            </w:r>
          </w:p>
          <w:p w:rsidR="0083617D" w:rsidRPr="007A6119" w:rsidRDefault="00906E76" w:rsidP="00681BE7">
            <w:pPr>
              <w:rPr>
                <w:sz w:val="20"/>
                <w:szCs w:val="20"/>
              </w:rPr>
            </w:pPr>
            <w:hyperlink r:id="rId13" w:history="1">
              <w:r w:rsidR="007A6119" w:rsidRPr="007A6119">
                <w:rPr>
                  <w:rStyle w:val="Hyperlink"/>
                  <w:sz w:val="20"/>
                  <w:szCs w:val="20"/>
                </w:rPr>
                <w:t>https://www.gov.uk/government/publications/early-years-foundation-stage-framework--2</w:t>
              </w:r>
            </w:hyperlink>
          </w:p>
          <w:p w:rsidR="00245FE9" w:rsidRPr="007A6119" w:rsidRDefault="00245FE9" w:rsidP="00681BE7">
            <w:pPr>
              <w:rPr>
                <w:sz w:val="20"/>
                <w:szCs w:val="20"/>
              </w:rPr>
            </w:pPr>
          </w:p>
          <w:p w:rsidR="00245FE9" w:rsidRPr="007A6119" w:rsidRDefault="007A6119" w:rsidP="00681BE7">
            <w:pPr>
              <w:rPr>
                <w:b/>
                <w:sz w:val="20"/>
                <w:szCs w:val="20"/>
              </w:rPr>
            </w:pPr>
            <w:r w:rsidRPr="007A6119">
              <w:rPr>
                <w:b/>
                <w:sz w:val="20"/>
                <w:szCs w:val="20"/>
              </w:rPr>
              <w:t>Inspecting Safeguarding in Early Years</w:t>
            </w:r>
          </w:p>
          <w:p w:rsidR="007A6119" w:rsidRPr="007A6119" w:rsidRDefault="00906E76" w:rsidP="00681BE7">
            <w:pPr>
              <w:rPr>
                <w:sz w:val="20"/>
                <w:szCs w:val="20"/>
              </w:rPr>
            </w:pPr>
            <w:hyperlink r:id="rId14" w:history="1">
              <w:r w:rsidR="007A6119" w:rsidRPr="007A6119">
                <w:rPr>
                  <w:rStyle w:val="Hyperlink"/>
                  <w:sz w:val="20"/>
                  <w:szCs w:val="20"/>
                </w:rPr>
                <w:t>https://www.gov.uk/government/publications/inspecting-safeguarding-in-early-years-education-and-skills-from-september-2015</w:t>
              </w:r>
            </w:hyperlink>
          </w:p>
          <w:p w:rsidR="007A6119" w:rsidRPr="007A6119" w:rsidRDefault="007A6119" w:rsidP="00681BE7">
            <w:pPr>
              <w:rPr>
                <w:sz w:val="20"/>
                <w:szCs w:val="20"/>
              </w:rPr>
            </w:pPr>
          </w:p>
          <w:p w:rsidR="00245FE9" w:rsidRPr="007A6119" w:rsidRDefault="00245FE9" w:rsidP="00681BE7">
            <w:pPr>
              <w:rPr>
                <w:sz w:val="20"/>
                <w:szCs w:val="20"/>
              </w:rPr>
            </w:pPr>
          </w:p>
          <w:p w:rsidR="00245FE9" w:rsidRPr="007A6119" w:rsidRDefault="00245FE9" w:rsidP="00681BE7">
            <w:pPr>
              <w:rPr>
                <w:b/>
                <w:sz w:val="20"/>
                <w:szCs w:val="20"/>
              </w:rPr>
            </w:pPr>
            <w:r w:rsidRPr="007A6119">
              <w:rPr>
                <w:b/>
                <w:sz w:val="20"/>
                <w:szCs w:val="20"/>
              </w:rPr>
              <w:t>LLR LSCB Online Procedure</w:t>
            </w:r>
          </w:p>
          <w:p w:rsidR="007A6119" w:rsidRPr="007A6119" w:rsidRDefault="00906E76" w:rsidP="00681BE7">
            <w:pPr>
              <w:rPr>
                <w:sz w:val="20"/>
                <w:szCs w:val="20"/>
              </w:rPr>
            </w:pPr>
            <w:hyperlink r:id="rId15" w:history="1">
              <w:r w:rsidR="007A6119" w:rsidRPr="007A6119">
                <w:rPr>
                  <w:rStyle w:val="Hyperlink"/>
                  <w:sz w:val="20"/>
                  <w:szCs w:val="20"/>
                </w:rPr>
                <w:t>http://llrscb.proceduresonline.com/</w:t>
              </w:r>
            </w:hyperlink>
          </w:p>
          <w:p w:rsidR="007A6119" w:rsidRPr="00681BE7" w:rsidRDefault="007A6119" w:rsidP="00681BE7">
            <w:pPr>
              <w:rPr>
                <w:b/>
                <w:sz w:val="20"/>
                <w:szCs w:val="20"/>
              </w:rPr>
            </w:pPr>
          </w:p>
        </w:tc>
        <w:tc>
          <w:tcPr>
            <w:tcW w:w="3686" w:type="dxa"/>
          </w:tcPr>
          <w:p w:rsidR="00B549A7" w:rsidRDefault="00047267" w:rsidP="00047267">
            <w:pPr>
              <w:rPr>
                <w:b/>
                <w:color w:val="A6A6A6" w:themeColor="background1" w:themeShade="A6"/>
                <w:sz w:val="20"/>
              </w:rPr>
            </w:pPr>
            <w:r>
              <w:rPr>
                <w:b/>
                <w:color w:val="A6A6A6" w:themeColor="background1" w:themeShade="A6"/>
                <w:sz w:val="20"/>
              </w:rPr>
              <w:lastRenderedPageBreak/>
              <w:t xml:space="preserve">Guidance note: Remember to date your evidence to allow you to revisit and review relevance.  </w:t>
            </w:r>
          </w:p>
          <w:p w:rsidR="00047267" w:rsidRPr="006E49F9" w:rsidRDefault="00047267" w:rsidP="00047267">
            <w:pPr>
              <w:rPr>
                <w:b/>
                <w:color w:val="A6A6A6" w:themeColor="background1" w:themeShade="A6"/>
                <w:sz w:val="20"/>
                <w:szCs w:val="20"/>
              </w:rPr>
            </w:pPr>
          </w:p>
          <w:p w:rsidR="00047267" w:rsidRPr="006E49F9" w:rsidRDefault="00047267" w:rsidP="00047267">
            <w:pPr>
              <w:rPr>
                <w:b/>
                <w:color w:val="A6A6A6" w:themeColor="background1" w:themeShade="A6"/>
                <w:sz w:val="20"/>
                <w:szCs w:val="20"/>
              </w:rPr>
            </w:pPr>
          </w:p>
          <w:p w:rsidR="00047267" w:rsidRPr="00047267" w:rsidRDefault="00047267" w:rsidP="00047267">
            <w:pPr>
              <w:rPr>
                <w:color w:val="9BBB59" w:themeColor="accent3"/>
                <w:sz w:val="24"/>
              </w:rPr>
            </w:pPr>
            <w:bookmarkStart w:id="0" w:name="_GoBack"/>
            <w:bookmarkEnd w:id="0"/>
          </w:p>
        </w:tc>
      </w:tr>
    </w:tbl>
    <w:p w:rsidR="008A598B" w:rsidRPr="008A598B" w:rsidRDefault="008A598B" w:rsidP="00572173">
      <w:pPr>
        <w:rPr>
          <w:b/>
          <w:color w:val="0070C0"/>
          <w:sz w:val="12"/>
        </w:rPr>
      </w:pPr>
    </w:p>
    <w:sectPr w:rsidR="008A598B" w:rsidRPr="008A598B" w:rsidSect="008A598B">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73" w:rsidRDefault="00572173" w:rsidP="00572173">
      <w:pPr>
        <w:spacing w:after="0" w:line="240" w:lineRule="auto"/>
      </w:pPr>
      <w:r>
        <w:separator/>
      </w:r>
    </w:p>
  </w:endnote>
  <w:endnote w:type="continuationSeparator" w:id="0">
    <w:p w:rsidR="00572173" w:rsidRDefault="00572173" w:rsidP="0057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F8" w:rsidRDefault="00F27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55" w:rsidRPr="00A46455" w:rsidRDefault="00A46455" w:rsidP="00A46455">
    <w:pPr>
      <w:spacing w:after="0"/>
      <w:rPr>
        <w:b/>
        <w:color w:val="FF0000"/>
      </w:rPr>
    </w:pPr>
    <w:r w:rsidRPr="00A46455">
      <w:rPr>
        <w:b/>
        <w:color w:val="FF0000"/>
        <w:sz w:val="24"/>
      </w:rPr>
      <w:t xml:space="preserve">ENSURE NEXT STEPS IDENTIFIED ARE CAPTURED ON YOUR SETTINGS DEVELOPMENT ACTION PLAN </w:t>
    </w:r>
    <w:r w:rsidRPr="00A46455">
      <w:rPr>
        <w:b/>
        <w:color w:val="FF0000"/>
      </w:rPr>
      <w:t xml:space="preserve">– this will allow you to monitor developments and evidence progress made. </w:t>
    </w:r>
  </w:p>
  <w:p w:rsidR="00A46455" w:rsidRPr="00A46455" w:rsidRDefault="00A46455" w:rsidP="00A46455">
    <w:pPr>
      <w:spacing w:after="0"/>
      <w:rPr>
        <w:b/>
        <w:i/>
        <w:color w:val="FF0000"/>
      </w:rPr>
    </w:pPr>
    <w:r w:rsidRPr="00A46455">
      <w:rPr>
        <w:b/>
        <w:i/>
        <w:color w:val="FF0000"/>
      </w:rPr>
      <w:t>For action plan template, see annex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F8" w:rsidRDefault="00F2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73" w:rsidRDefault="00572173" w:rsidP="00572173">
      <w:pPr>
        <w:spacing w:after="0" w:line="240" w:lineRule="auto"/>
      </w:pPr>
      <w:r>
        <w:separator/>
      </w:r>
    </w:p>
  </w:footnote>
  <w:footnote w:type="continuationSeparator" w:id="0">
    <w:p w:rsidR="00572173" w:rsidRDefault="00572173" w:rsidP="00572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F8" w:rsidRDefault="00F27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AA" w:rsidRDefault="00572173" w:rsidP="003974AA">
    <w:pPr>
      <w:rPr>
        <w:b/>
        <w:sz w:val="28"/>
      </w:rPr>
    </w:pPr>
    <w:r w:rsidRPr="00572173">
      <w:rPr>
        <w:b/>
        <w:sz w:val="28"/>
      </w:rPr>
      <w:t xml:space="preserve">Quality Improvement Framework  </w:t>
    </w:r>
    <w:r w:rsidRPr="00572173">
      <w:rPr>
        <w:b/>
        <w:sz w:val="28"/>
      </w:rPr>
      <w:tab/>
    </w:r>
    <w:r w:rsidRPr="00572173">
      <w:rPr>
        <w:b/>
        <w:sz w:val="28"/>
      </w:rPr>
      <w:tab/>
    </w:r>
    <w:r w:rsidRPr="00572173">
      <w:rPr>
        <w:b/>
        <w:sz w:val="28"/>
      </w:rPr>
      <w:tab/>
      <w:t xml:space="preserve"> Section</w:t>
    </w:r>
    <w:r w:rsidR="00645D6E">
      <w:rPr>
        <w:b/>
        <w:sz w:val="28"/>
      </w:rPr>
      <w:t xml:space="preserve"> 1 – Safeguarding </w:t>
    </w:r>
  </w:p>
  <w:p w:rsidR="003974AA" w:rsidRPr="008601C3" w:rsidRDefault="003974AA" w:rsidP="003974AA">
    <w:pPr>
      <w:rPr>
        <w:b/>
        <w:color w:val="FF0000"/>
        <w:sz w:val="28"/>
        <w:szCs w:val="28"/>
      </w:rPr>
    </w:pPr>
    <w:r>
      <w:rPr>
        <w:sz w:val="28"/>
        <w:szCs w:val="28"/>
      </w:rPr>
      <w:t>Subsection</w:t>
    </w:r>
    <w:r w:rsidR="008601C3">
      <w:rPr>
        <w:sz w:val="28"/>
        <w:szCs w:val="28"/>
      </w:rPr>
      <w:t xml:space="preserve">: </w:t>
    </w:r>
    <w:r w:rsidR="00645D6E" w:rsidRPr="00645D6E">
      <w:rPr>
        <w:b/>
        <w:color w:val="FF0000"/>
        <w:sz w:val="28"/>
        <w:szCs w:val="28"/>
      </w:rPr>
      <w:t>Role of the DSL</w:t>
    </w:r>
    <w:r w:rsidR="00FE52F8">
      <w:rPr>
        <w:b/>
        <w:color w:val="FF0000"/>
        <w:sz w:val="28"/>
        <w:szCs w:val="28"/>
      </w:rPr>
      <w:t xml:space="preserve"> (Designated Safeguarding Lead)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F8" w:rsidRDefault="00F27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01C78"/>
    <w:multiLevelType w:val="hybridMultilevel"/>
    <w:tmpl w:val="1537F1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D8571C"/>
    <w:multiLevelType w:val="hybridMultilevel"/>
    <w:tmpl w:val="D4C4CC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520ADA"/>
    <w:multiLevelType w:val="hybridMultilevel"/>
    <w:tmpl w:val="BCB4C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EB35FA"/>
    <w:multiLevelType w:val="hybridMultilevel"/>
    <w:tmpl w:val="C812FA96"/>
    <w:lvl w:ilvl="0" w:tplc="A7027EB0">
      <w:start w:val="3"/>
      <w:numFmt w:val="bullet"/>
      <w:lvlText w:val="-"/>
      <w:lvlJc w:val="left"/>
      <w:pPr>
        <w:ind w:left="720" w:hanging="360"/>
      </w:pPr>
      <w:rPr>
        <w:rFonts w:ascii="Calibri" w:eastAsiaTheme="minorHAnsi" w:hAnsi="Calibri" w:cstheme="minorBidi"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B6EAF"/>
    <w:multiLevelType w:val="hybridMultilevel"/>
    <w:tmpl w:val="545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64BD4"/>
    <w:multiLevelType w:val="hybridMultilevel"/>
    <w:tmpl w:val="28385256"/>
    <w:lvl w:ilvl="0" w:tplc="EC40081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C5738C"/>
    <w:multiLevelType w:val="hybridMultilevel"/>
    <w:tmpl w:val="7B10B652"/>
    <w:lvl w:ilvl="0" w:tplc="7F88130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086588"/>
    <w:multiLevelType w:val="hybridMultilevel"/>
    <w:tmpl w:val="BA80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0B19D1"/>
    <w:multiLevelType w:val="hybridMultilevel"/>
    <w:tmpl w:val="E53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B7389B"/>
    <w:multiLevelType w:val="hybridMultilevel"/>
    <w:tmpl w:val="86F256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D173A63"/>
    <w:multiLevelType w:val="hybridMultilevel"/>
    <w:tmpl w:val="C9D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6"/>
  </w:num>
  <w:num w:numId="6">
    <w:abstractNumId w:val="4"/>
  </w:num>
  <w:num w:numId="7">
    <w:abstractNumId w:val="1"/>
  </w:num>
  <w:num w:numId="8">
    <w:abstractNumId w:val="9"/>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73"/>
    <w:rsid w:val="00034FD1"/>
    <w:rsid w:val="00044261"/>
    <w:rsid w:val="00047267"/>
    <w:rsid w:val="00072C5A"/>
    <w:rsid w:val="000945E2"/>
    <w:rsid w:val="00122C7A"/>
    <w:rsid w:val="001C6CD2"/>
    <w:rsid w:val="00245FE9"/>
    <w:rsid w:val="00310F00"/>
    <w:rsid w:val="003974AA"/>
    <w:rsid w:val="003C40F3"/>
    <w:rsid w:val="003F7D3D"/>
    <w:rsid w:val="00423B6B"/>
    <w:rsid w:val="00436439"/>
    <w:rsid w:val="00451911"/>
    <w:rsid w:val="0046447F"/>
    <w:rsid w:val="004C7BD3"/>
    <w:rsid w:val="0051463E"/>
    <w:rsid w:val="005363D6"/>
    <w:rsid w:val="00572173"/>
    <w:rsid w:val="00585BCE"/>
    <w:rsid w:val="00597919"/>
    <w:rsid w:val="005D27BE"/>
    <w:rsid w:val="00645D6E"/>
    <w:rsid w:val="00681BE7"/>
    <w:rsid w:val="006E49F9"/>
    <w:rsid w:val="00703A3E"/>
    <w:rsid w:val="007A6119"/>
    <w:rsid w:val="0083617D"/>
    <w:rsid w:val="008601C3"/>
    <w:rsid w:val="008923DC"/>
    <w:rsid w:val="008A598B"/>
    <w:rsid w:val="008C49E7"/>
    <w:rsid w:val="00906E76"/>
    <w:rsid w:val="00957CBA"/>
    <w:rsid w:val="00977C9D"/>
    <w:rsid w:val="00980E45"/>
    <w:rsid w:val="009840B7"/>
    <w:rsid w:val="009E1F43"/>
    <w:rsid w:val="00A0675A"/>
    <w:rsid w:val="00A238F0"/>
    <w:rsid w:val="00A46455"/>
    <w:rsid w:val="00B47E1F"/>
    <w:rsid w:val="00B549A7"/>
    <w:rsid w:val="00C30AF2"/>
    <w:rsid w:val="00CE3D85"/>
    <w:rsid w:val="00CE56E0"/>
    <w:rsid w:val="00D220E5"/>
    <w:rsid w:val="00D24539"/>
    <w:rsid w:val="00D324EA"/>
    <w:rsid w:val="00E3770B"/>
    <w:rsid w:val="00E75CBB"/>
    <w:rsid w:val="00F27BF8"/>
    <w:rsid w:val="00F974A1"/>
    <w:rsid w:val="00FE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73"/>
  </w:style>
  <w:style w:type="paragraph" w:styleId="Footer">
    <w:name w:val="footer"/>
    <w:basedOn w:val="Normal"/>
    <w:link w:val="FooterChar"/>
    <w:uiPriority w:val="99"/>
    <w:unhideWhenUsed/>
    <w:rsid w:val="0057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73"/>
  </w:style>
  <w:style w:type="table" w:styleId="TableGrid">
    <w:name w:val="Table Grid"/>
    <w:basedOn w:val="TableNormal"/>
    <w:uiPriority w:val="59"/>
    <w:rsid w:val="001C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C9D"/>
    <w:rPr>
      <w:color w:val="0000FF" w:themeColor="hyperlink"/>
      <w:u w:val="single"/>
    </w:rPr>
  </w:style>
  <w:style w:type="paragraph" w:styleId="ListParagraph">
    <w:name w:val="List Paragraph"/>
    <w:basedOn w:val="Normal"/>
    <w:uiPriority w:val="34"/>
    <w:qFormat/>
    <w:rsid w:val="00597919"/>
    <w:pPr>
      <w:ind w:left="720"/>
      <w:contextualSpacing/>
    </w:pPr>
  </w:style>
  <w:style w:type="paragraph" w:customStyle="1" w:styleId="Default">
    <w:name w:val="Default"/>
    <w:rsid w:val="00310F0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73"/>
  </w:style>
  <w:style w:type="paragraph" w:styleId="Footer">
    <w:name w:val="footer"/>
    <w:basedOn w:val="Normal"/>
    <w:link w:val="FooterChar"/>
    <w:uiPriority w:val="99"/>
    <w:unhideWhenUsed/>
    <w:rsid w:val="0057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73"/>
  </w:style>
  <w:style w:type="table" w:styleId="TableGrid">
    <w:name w:val="Table Grid"/>
    <w:basedOn w:val="TableNormal"/>
    <w:uiPriority w:val="59"/>
    <w:rsid w:val="001C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C9D"/>
    <w:rPr>
      <w:color w:val="0000FF" w:themeColor="hyperlink"/>
      <w:u w:val="single"/>
    </w:rPr>
  </w:style>
  <w:style w:type="paragraph" w:styleId="ListParagraph">
    <w:name w:val="List Paragraph"/>
    <w:basedOn w:val="Normal"/>
    <w:uiPriority w:val="34"/>
    <w:qFormat/>
    <w:rsid w:val="00597919"/>
    <w:pPr>
      <w:ind w:left="720"/>
      <w:contextualSpacing/>
    </w:pPr>
  </w:style>
  <w:style w:type="paragraph" w:customStyle="1" w:styleId="Default">
    <w:name w:val="Default"/>
    <w:rsid w:val="00310F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early-years-foundation-stage-framework--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rsb.org.uk/competency-framework-overview" TargetMode="External"/><Relationship Id="rId5" Type="http://schemas.openxmlformats.org/officeDocument/2006/relationships/webSettings" Target="webSettings.xml"/><Relationship Id="rId15" Type="http://schemas.openxmlformats.org/officeDocument/2006/relationships/hyperlink" Target="http://llrscb.proceduresonline.com/" TargetMode="External"/><Relationship Id="rId23" Type="http://schemas.openxmlformats.org/officeDocument/2006/relationships/theme" Target="theme/theme1.xml"/><Relationship Id="rId10" Type="http://schemas.openxmlformats.org/officeDocument/2006/relationships/hyperlink" Target="https://www.eventbrite.co.uk/o/early-learning-and-childcare-service-1745295845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rsb.org.uk/safeguarding-children-learning" TargetMode="External"/><Relationship Id="rId14" Type="http://schemas.openxmlformats.org/officeDocument/2006/relationships/hyperlink" Target="https://www.gov.uk/government/publications/inspecting-safeguarding-in-early-years-education-and-skills-from-september-20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Mason</dc:creator>
  <cp:lastModifiedBy>Kelly Mason</cp:lastModifiedBy>
  <cp:revision>8</cp:revision>
  <dcterms:created xsi:type="dcterms:W3CDTF">2018-08-21T11:05:00Z</dcterms:created>
  <dcterms:modified xsi:type="dcterms:W3CDTF">2018-10-23T12:19:00Z</dcterms:modified>
</cp:coreProperties>
</file>