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434"/>
        <w:tblW w:w="15026" w:type="dxa"/>
        <w:tblLayout w:type="fixed"/>
        <w:tblLook w:val="04A0" w:firstRow="1" w:lastRow="0" w:firstColumn="1" w:lastColumn="0" w:noHBand="0" w:noVBand="1"/>
      </w:tblPr>
      <w:tblGrid>
        <w:gridCol w:w="3402"/>
        <w:gridCol w:w="3510"/>
        <w:gridCol w:w="4428"/>
        <w:gridCol w:w="3686"/>
      </w:tblGrid>
      <w:tr w:rsidR="00B549A7" w:rsidTr="008A598B">
        <w:tc>
          <w:tcPr>
            <w:tcW w:w="3402" w:type="dxa"/>
          </w:tcPr>
          <w:p w:rsidR="00B549A7" w:rsidRPr="008A598B" w:rsidRDefault="00B549A7" w:rsidP="008A598B">
            <w:pPr>
              <w:rPr>
                <w:b/>
                <w:sz w:val="24"/>
              </w:rPr>
            </w:pPr>
            <w:r w:rsidRPr="008A598B">
              <w:rPr>
                <w:b/>
                <w:sz w:val="24"/>
              </w:rPr>
              <w:t>Guidance notes:</w:t>
            </w:r>
          </w:p>
        </w:tc>
        <w:tc>
          <w:tcPr>
            <w:tcW w:w="3510" w:type="dxa"/>
          </w:tcPr>
          <w:p w:rsidR="00B549A7" w:rsidRPr="008A598B" w:rsidRDefault="00B549A7" w:rsidP="008A598B">
            <w:pPr>
              <w:rPr>
                <w:b/>
                <w:sz w:val="24"/>
              </w:rPr>
            </w:pPr>
            <w:r w:rsidRPr="008A598B">
              <w:rPr>
                <w:b/>
                <w:sz w:val="24"/>
              </w:rPr>
              <w:t>Reflective questions:</w:t>
            </w:r>
          </w:p>
        </w:tc>
        <w:tc>
          <w:tcPr>
            <w:tcW w:w="4428" w:type="dxa"/>
          </w:tcPr>
          <w:p w:rsidR="00B549A7" w:rsidRPr="008A598B" w:rsidRDefault="00B549A7" w:rsidP="008A598B">
            <w:pPr>
              <w:rPr>
                <w:b/>
                <w:sz w:val="24"/>
              </w:rPr>
            </w:pPr>
            <w:r w:rsidRPr="008A598B">
              <w:rPr>
                <w:b/>
                <w:sz w:val="24"/>
              </w:rPr>
              <w:t>Links to supporting information:</w:t>
            </w:r>
          </w:p>
        </w:tc>
        <w:tc>
          <w:tcPr>
            <w:tcW w:w="3686" w:type="dxa"/>
          </w:tcPr>
          <w:p w:rsidR="00B549A7" w:rsidRPr="008A598B" w:rsidRDefault="00144992" w:rsidP="008A598B">
            <w:pPr>
              <w:rPr>
                <w:b/>
                <w:sz w:val="24"/>
              </w:rPr>
            </w:pPr>
            <w:bookmarkStart w:id="0" w:name="_GoBack"/>
            <w:r>
              <w:rPr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83C1AC2" wp14:editId="34DB8CEC">
                  <wp:simplePos x="0" y="0"/>
                  <wp:positionH relativeFrom="column">
                    <wp:posOffset>1736090</wp:posOffset>
                  </wp:positionH>
                  <wp:positionV relativeFrom="paragraph">
                    <wp:posOffset>-1247140</wp:posOffset>
                  </wp:positionV>
                  <wp:extent cx="853440" cy="1094740"/>
                  <wp:effectExtent l="0" t="0" r="3810" b="0"/>
                  <wp:wrapNone/>
                  <wp:docPr id="1" name="Picture 1" descr="LCC 75mm 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CC 75mm 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1094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B549A7" w:rsidRPr="008A598B">
              <w:rPr>
                <w:b/>
                <w:sz w:val="24"/>
              </w:rPr>
              <w:t>Your evidence:</w:t>
            </w:r>
          </w:p>
        </w:tc>
      </w:tr>
      <w:tr w:rsidR="00B549A7" w:rsidTr="0001743A">
        <w:trPr>
          <w:trHeight w:val="77"/>
        </w:trPr>
        <w:tc>
          <w:tcPr>
            <w:tcW w:w="3402" w:type="dxa"/>
          </w:tcPr>
          <w:p w:rsidR="00047267" w:rsidRPr="00492764" w:rsidRDefault="00047267" w:rsidP="003F7D3D">
            <w:pPr>
              <w:rPr>
                <w:color w:val="A6A6A6" w:themeColor="background1" w:themeShade="A6"/>
                <w:sz w:val="20"/>
                <w:szCs w:val="18"/>
              </w:rPr>
            </w:pPr>
          </w:p>
          <w:p w:rsidR="00047267" w:rsidRDefault="009C50F1" w:rsidP="003F7D3D">
            <w:pPr>
              <w:rPr>
                <w:sz w:val="20"/>
                <w:szCs w:val="18"/>
              </w:rPr>
            </w:pPr>
            <w:r w:rsidRPr="00AA43B9">
              <w:rPr>
                <w:b/>
                <w:sz w:val="20"/>
                <w:szCs w:val="18"/>
              </w:rPr>
              <w:t>Female Genital Mutilation</w:t>
            </w:r>
            <w:r w:rsidR="00AA43B9">
              <w:rPr>
                <w:sz w:val="20"/>
                <w:szCs w:val="18"/>
              </w:rPr>
              <w:t xml:space="preserve"> (also known as Female Circumcision or Cutting)</w:t>
            </w:r>
            <w:r>
              <w:rPr>
                <w:sz w:val="20"/>
                <w:szCs w:val="18"/>
              </w:rPr>
              <w:t xml:space="preserve"> is</w:t>
            </w:r>
            <w:r w:rsidR="00AA43B9">
              <w:rPr>
                <w:sz w:val="20"/>
                <w:szCs w:val="18"/>
              </w:rPr>
              <w:t xml:space="preserve"> illegal in the UK and is</w:t>
            </w:r>
            <w:r>
              <w:rPr>
                <w:sz w:val="20"/>
                <w:szCs w:val="18"/>
              </w:rPr>
              <w:t xml:space="preserve"> a form of </w:t>
            </w:r>
            <w:r>
              <w:rPr>
                <w:b/>
                <w:sz w:val="20"/>
                <w:szCs w:val="18"/>
              </w:rPr>
              <w:t xml:space="preserve">Child Abuse. </w:t>
            </w:r>
            <w:r>
              <w:rPr>
                <w:sz w:val="20"/>
                <w:szCs w:val="18"/>
              </w:rPr>
              <w:t xml:space="preserve">It affects girls and young women and can have lasting effects both physically and emotionally on the individual. </w:t>
            </w:r>
          </w:p>
          <w:p w:rsidR="009C50F1" w:rsidRDefault="009C50F1" w:rsidP="003F7D3D">
            <w:pPr>
              <w:rPr>
                <w:sz w:val="20"/>
                <w:szCs w:val="18"/>
              </w:rPr>
            </w:pPr>
          </w:p>
          <w:p w:rsidR="00AA43B9" w:rsidRDefault="00AA43B9" w:rsidP="003F7D3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It involves the girls </w:t>
            </w:r>
            <w:r w:rsidRPr="00AA43B9">
              <w:rPr>
                <w:b/>
                <w:sz w:val="20"/>
                <w:szCs w:val="18"/>
              </w:rPr>
              <w:t xml:space="preserve">genitalia being modified </w:t>
            </w:r>
            <w:r>
              <w:rPr>
                <w:sz w:val="20"/>
                <w:szCs w:val="18"/>
              </w:rPr>
              <w:t>(cut, injured or changed) with no medical justification for do</w:t>
            </w:r>
            <w:r w:rsidR="00AD6A9F">
              <w:rPr>
                <w:sz w:val="20"/>
                <w:szCs w:val="18"/>
              </w:rPr>
              <w:t>ing</w:t>
            </w:r>
            <w:r>
              <w:rPr>
                <w:sz w:val="20"/>
                <w:szCs w:val="18"/>
              </w:rPr>
              <w:t xml:space="preserve"> so.</w:t>
            </w:r>
          </w:p>
          <w:p w:rsidR="00047267" w:rsidRDefault="00047267" w:rsidP="003F7D3D">
            <w:pPr>
              <w:rPr>
                <w:sz w:val="20"/>
                <w:szCs w:val="18"/>
              </w:rPr>
            </w:pPr>
          </w:p>
          <w:p w:rsidR="00AA43B9" w:rsidRDefault="00AA43B9" w:rsidP="003F7D3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With links to cultural, religious and social beliefs, practitioners may doubt their authority to challenge where they feel a girl is in danger of, or has been affected by </w:t>
            </w:r>
            <w:r w:rsidR="008E5580">
              <w:rPr>
                <w:sz w:val="20"/>
                <w:szCs w:val="18"/>
              </w:rPr>
              <w:t>FGM. This is not the case. As with</w:t>
            </w:r>
            <w:r>
              <w:rPr>
                <w:sz w:val="20"/>
                <w:szCs w:val="18"/>
              </w:rPr>
              <w:t xml:space="preserve"> any form of abuse, professionals should foll</w:t>
            </w:r>
            <w:r w:rsidR="00AD6A9F">
              <w:rPr>
                <w:sz w:val="20"/>
                <w:szCs w:val="18"/>
              </w:rPr>
              <w:t xml:space="preserve">ow their safeguarding policies and procedures. </w:t>
            </w:r>
          </w:p>
          <w:p w:rsidR="00AD6A9F" w:rsidRDefault="00AD6A9F" w:rsidP="003F7D3D">
            <w:pPr>
              <w:rPr>
                <w:sz w:val="20"/>
                <w:szCs w:val="18"/>
              </w:rPr>
            </w:pPr>
          </w:p>
          <w:p w:rsidR="00047267" w:rsidRPr="00492764" w:rsidRDefault="00AD6A9F" w:rsidP="003F7D3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Practitioners need to be conscious of the signs and indicators of FGM, having an understanding of physical changes, behavioural changes, </w:t>
            </w:r>
            <w:r w:rsidR="0001743A">
              <w:rPr>
                <w:sz w:val="20"/>
                <w:szCs w:val="18"/>
              </w:rPr>
              <w:t>and patterns</w:t>
            </w:r>
            <w:r>
              <w:rPr>
                <w:sz w:val="20"/>
                <w:szCs w:val="18"/>
              </w:rPr>
              <w:t xml:space="preserve"> in attendance etc. to enable them to better safeguard children in their care. </w:t>
            </w:r>
          </w:p>
        </w:tc>
        <w:tc>
          <w:tcPr>
            <w:tcW w:w="3510" w:type="dxa"/>
          </w:tcPr>
          <w:p w:rsidR="00047267" w:rsidRPr="00492764" w:rsidRDefault="00047267" w:rsidP="008A598B">
            <w:pPr>
              <w:rPr>
                <w:color w:val="A6A6A6" w:themeColor="background1" w:themeShade="A6"/>
                <w:sz w:val="20"/>
                <w:szCs w:val="18"/>
              </w:rPr>
            </w:pPr>
          </w:p>
          <w:p w:rsidR="009C50F1" w:rsidRPr="009C50F1" w:rsidRDefault="009C50F1" w:rsidP="009C50F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18"/>
              </w:rPr>
            </w:pPr>
            <w:proofErr w:type="gramStart"/>
            <w:r w:rsidRPr="009C50F1">
              <w:rPr>
                <w:sz w:val="20"/>
                <w:szCs w:val="18"/>
              </w:rPr>
              <w:t>Have staff</w:t>
            </w:r>
            <w:proofErr w:type="gramEnd"/>
            <w:r w:rsidRPr="009C50F1">
              <w:rPr>
                <w:sz w:val="20"/>
                <w:szCs w:val="18"/>
              </w:rPr>
              <w:t xml:space="preserve"> be</w:t>
            </w:r>
            <w:r w:rsidR="00AD6A9F">
              <w:rPr>
                <w:sz w:val="20"/>
                <w:szCs w:val="18"/>
              </w:rPr>
              <w:t>en</w:t>
            </w:r>
            <w:r w:rsidRPr="009C50F1">
              <w:rPr>
                <w:sz w:val="20"/>
                <w:szCs w:val="18"/>
              </w:rPr>
              <w:t xml:space="preserve"> offered FGM training?</w:t>
            </w:r>
            <w:r w:rsidR="00AD6A9F">
              <w:rPr>
                <w:sz w:val="20"/>
                <w:szCs w:val="18"/>
              </w:rPr>
              <w:t xml:space="preserve"> If so, what opportunities have there been for staff to embed this learning and apply it to the context of their day to day work?</w:t>
            </w:r>
          </w:p>
          <w:p w:rsidR="009C50F1" w:rsidRPr="009C50F1" w:rsidRDefault="009C50F1" w:rsidP="009C50F1">
            <w:pPr>
              <w:pStyle w:val="ListParagraph"/>
              <w:rPr>
                <w:sz w:val="20"/>
                <w:szCs w:val="18"/>
              </w:rPr>
            </w:pPr>
          </w:p>
          <w:p w:rsidR="009C50F1" w:rsidRPr="009C50F1" w:rsidRDefault="009C50F1" w:rsidP="009C50F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18"/>
              </w:rPr>
            </w:pPr>
            <w:proofErr w:type="gramStart"/>
            <w:r w:rsidRPr="009C50F1">
              <w:rPr>
                <w:sz w:val="20"/>
                <w:szCs w:val="18"/>
              </w:rPr>
              <w:t>Are staff</w:t>
            </w:r>
            <w:proofErr w:type="gramEnd"/>
            <w:r w:rsidRPr="009C50F1">
              <w:rPr>
                <w:sz w:val="20"/>
                <w:szCs w:val="18"/>
              </w:rPr>
              <w:t xml:space="preserve"> able to articulate their knowledge of </w:t>
            </w:r>
            <w:r w:rsidR="00AD6A9F">
              <w:rPr>
                <w:sz w:val="20"/>
                <w:szCs w:val="18"/>
              </w:rPr>
              <w:t xml:space="preserve">the </w:t>
            </w:r>
            <w:r w:rsidRPr="009C50F1">
              <w:rPr>
                <w:sz w:val="20"/>
                <w:szCs w:val="18"/>
              </w:rPr>
              <w:t>signs and indicators of FGM?</w:t>
            </w:r>
          </w:p>
          <w:p w:rsidR="009C50F1" w:rsidRPr="009C50F1" w:rsidRDefault="009C50F1" w:rsidP="009C50F1">
            <w:pPr>
              <w:rPr>
                <w:sz w:val="20"/>
                <w:szCs w:val="18"/>
              </w:rPr>
            </w:pPr>
          </w:p>
          <w:p w:rsidR="009C50F1" w:rsidRPr="009C50F1" w:rsidRDefault="009C50F1" w:rsidP="009C50F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18"/>
              </w:rPr>
            </w:pPr>
            <w:proofErr w:type="gramStart"/>
            <w:r w:rsidRPr="009C50F1">
              <w:rPr>
                <w:sz w:val="20"/>
                <w:szCs w:val="18"/>
              </w:rPr>
              <w:t>Do staff</w:t>
            </w:r>
            <w:proofErr w:type="gramEnd"/>
            <w:r w:rsidRPr="009C50F1">
              <w:rPr>
                <w:sz w:val="20"/>
                <w:szCs w:val="18"/>
              </w:rPr>
              <w:t xml:space="preserve"> </w:t>
            </w:r>
            <w:r w:rsidR="008E5580">
              <w:rPr>
                <w:sz w:val="20"/>
                <w:szCs w:val="18"/>
              </w:rPr>
              <w:t>feel confident in</w:t>
            </w:r>
            <w:r w:rsidRPr="009C50F1">
              <w:rPr>
                <w:sz w:val="20"/>
                <w:szCs w:val="18"/>
              </w:rPr>
              <w:t xml:space="preserve"> the reporting process when concerns are identified?</w:t>
            </w:r>
            <w:r w:rsidR="00AD6A9F">
              <w:rPr>
                <w:sz w:val="20"/>
                <w:szCs w:val="18"/>
              </w:rPr>
              <w:t xml:space="preserve"> If not, what action needs to be taken?</w:t>
            </w:r>
          </w:p>
          <w:p w:rsidR="009C50F1" w:rsidRPr="009C50F1" w:rsidRDefault="009C50F1" w:rsidP="009C50F1">
            <w:pPr>
              <w:pStyle w:val="ListParagraph"/>
              <w:rPr>
                <w:sz w:val="20"/>
                <w:szCs w:val="18"/>
              </w:rPr>
            </w:pPr>
          </w:p>
          <w:p w:rsidR="009C50F1" w:rsidRPr="009C50F1" w:rsidRDefault="009C50F1" w:rsidP="009C50F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18"/>
              </w:rPr>
            </w:pPr>
            <w:r w:rsidRPr="009C50F1">
              <w:rPr>
                <w:sz w:val="20"/>
                <w:szCs w:val="18"/>
              </w:rPr>
              <w:t>What information do you share with parents regarding your responsibilities in protecting young girls from FGM?</w:t>
            </w:r>
          </w:p>
          <w:p w:rsidR="009C50F1" w:rsidRPr="009C50F1" w:rsidRDefault="009C50F1" w:rsidP="009C50F1">
            <w:pPr>
              <w:pStyle w:val="ListParagraph"/>
              <w:rPr>
                <w:sz w:val="20"/>
                <w:szCs w:val="18"/>
              </w:rPr>
            </w:pPr>
          </w:p>
          <w:p w:rsidR="009C50F1" w:rsidRDefault="00AD6A9F" w:rsidP="009C50F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Do staff</w:t>
            </w:r>
            <w:proofErr w:type="gramEnd"/>
            <w:r>
              <w:rPr>
                <w:sz w:val="20"/>
                <w:szCs w:val="18"/>
              </w:rPr>
              <w:t xml:space="preserve"> feel confident in engaging with parents with regard to the subject matter? If not, what can you do to support staff in feeling more able to effectively communicate with parents? </w:t>
            </w:r>
          </w:p>
          <w:p w:rsidR="003F7D3D" w:rsidRPr="009C50F1" w:rsidRDefault="003F7D3D" w:rsidP="008A598B">
            <w:pPr>
              <w:rPr>
                <w:sz w:val="20"/>
                <w:szCs w:val="18"/>
              </w:rPr>
            </w:pPr>
          </w:p>
          <w:p w:rsidR="003F7D3D" w:rsidRPr="009C50F1" w:rsidRDefault="003F7D3D" w:rsidP="008A598B">
            <w:pPr>
              <w:rPr>
                <w:sz w:val="20"/>
                <w:szCs w:val="18"/>
              </w:rPr>
            </w:pPr>
          </w:p>
          <w:p w:rsidR="003F7D3D" w:rsidRPr="00492764" w:rsidRDefault="003F7D3D" w:rsidP="008A598B">
            <w:pPr>
              <w:rPr>
                <w:sz w:val="20"/>
                <w:szCs w:val="18"/>
              </w:rPr>
            </w:pPr>
          </w:p>
          <w:p w:rsidR="003F7D3D" w:rsidRPr="00492764" w:rsidRDefault="003F7D3D" w:rsidP="008A598B">
            <w:pPr>
              <w:rPr>
                <w:sz w:val="20"/>
                <w:szCs w:val="18"/>
              </w:rPr>
            </w:pPr>
          </w:p>
          <w:p w:rsidR="003F7D3D" w:rsidRPr="00492764" w:rsidRDefault="003F7D3D" w:rsidP="008A598B">
            <w:pPr>
              <w:rPr>
                <w:sz w:val="20"/>
                <w:szCs w:val="18"/>
              </w:rPr>
            </w:pPr>
          </w:p>
          <w:p w:rsidR="003F7D3D" w:rsidRPr="00492764" w:rsidRDefault="003F7D3D" w:rsidP="008A598B">
            <w:pPr>
              <w:rPr>
                <w:sz w:val="20"/>
                <w:szCs w:val="18"/>
              </w:rPr>
            </w:pPr>
          </w:p>
          <w:p w:rsidR="003F7D3D" w:rsidRPr="00492764" w:rsidRDefault="003F7D3D" w:rsidP="008A598B">
            <w:pPr>
              <w:rPr>
                <w:sz w:val="20"/>
                <w:szCs w:val="18"/>
              </w:rPr>
            </w:pPr>
          </w:p>
          <w:p w:rsidR="003F7D3D" w:rsidRPr="00492764" w:rsidRDefault="003F7D3D" w:rsidP="008A598B">
            <w:pPr>
              <w:rPr>
                <w:sz w:val="20"/>
                <w:szCs w:val="18"/>
              </w:rPr>
            </w:pPr>
          </w:p>
          <w:p w:rsidR="003F7D3D" w:rsidRPr="00492764" w:rsidRDefault="003F7D3D" w:rsidP="008A598B">
            <w:pPr>
              <w:rPr>
                <w:sz w:val="20"/>
                <w:szCs w:val="18"/>
              </w:rPr>
            </w:pPr>
          </w:p>
          <w:p w:rsidR="003F7D3D" w:rsidRPr="00492764" w:rsidRDefault="003F7D3D" w:rsidP="008A598B">
            <w:pPr>
              <w:rPr>
                <w:sz w:val="20"/>
                <w:szCs w:val="18"/>
              </w:rPr>
            </w:pPr>
          </w:p>
          <w:p w:rsidR="003F7D3D" w:rsidRPr="00492764" w:rsidRDefault="003F7D3D" w:rsidP="008A598B">
            <w:pPr>
              <w:rPr>
                <w:sz w:val="20"/>
                <w:szCs w:val="18"/>
              </w:rPr>
            </w:pPr>
          </w:p>
          <w:p w:rsidR="003F7D3D" w:rsidRPr="00492764" w:rsidRDefault="003F7D3D" w:rsidP="008A598B">
            <w:pPr>
              <w:rPr>
                <w:sz w:val="20"/>
                <w:szCs w:val="18"/>
              </w:rPr>
            </w:pPr>
          </w:p>
        </w:tc>
        <w:tc>
          <w:tcPr>
            <w:tcW w:w="4428" w:type="dxa"/>
          </w:tcPr>
          <w:p w:rsidR="00047267" w:rsidRPr="00492764" w:rsidRDefault="00047267" w:rsidP="003F7D3D">
            <w:pPr>
              <w:rPr>
                <w:color w:val="A6A6A6" w:themeColor="background1" w:themeShade="A6"/>
                <w:sz w:val="20"/>
                <w:szCs w:val="18"/>
              </w:rPr>
            </w:pPr>
          </w:p>
          <w:p w:rsidR="0054373C" w:rsidRPr="0054373C" w:rsidRDefault="0054373C" w:rsidP="003F7D3D">
            <w:pPr>
              <w:rPr>
                <w:b/>
                <w:sz w:val="20"/>
                <w:szCs w:val="18"/>
              </w:rPr>
            </w:pPr>
            <w:r w:rsidRPr="0054373C">
              <w:rPr>
                <w:b/>
                <w:sz w:val="20"/>
                <w:szCs w:val="18"/>
              </w:rPr>
              <w:t>Q Cards</w:t>
            </w:r>
          </w:p>
          <w:p w:rsidR="00047267" w:rsidRPr="0054373C" w:rsidRDefault="00492764" w:rsidP="003F7D3D">
            <w:pPr>
              <w:rPr>
                <w:sz w:val="20"/>
                <w:szCs w:val="18"/>
              </w:rPr>
            </w:pPr>
            <w:r w:rsidRPr="0054373C">
              <w:rPr>
                <w:sz w:val="20"/>
                <w:szCs w:val="18"/>
              </w:rPr>
              <w:t xml:space="preserve">Female Genital Mutilation (FGM) </w:t>
            </w:r>
          </w:p>
          <w:p w:rsidR="00047267" w:rsidRDefault="00047267" w:rsidP="003F7D3D">
            <w:pPr>
              <w:rPr>
                <w:color w:val="A6A6A6" w:themeColor="background1" w:themeShade="A6"/>
                <w:sz w:val="20"/>
                <w:szCs w:val="18"/>
              </w:rPr>
            </w:pPr>
          </w:p>
          <w:p w:rsidR="008E5580" w:rsidRDefault="008E5580" w:rsidP="008E5580">
            <w:pPr>
              <w:rPr>
                <w:b/>
                <w:sz w:val="20"/>
                <w:szCs w:val="18"/>
              </w:rPr>
            </w:pPr>
            <w:r w:rsidRPr="005F6A2E">
              <w:rPr>
                <w:b/>
                <w:sz w:val="20"/>
                <w:szCs w:val="18"/>
              </w:rPr>
              <w:t>Training:</w:t>
            </w:r>
          </w:p>
          <w:p w:rsidR="008E5580" w:rsidRPr="005F6A2E" w:rsidRDefault="008E5580" w:rsidP="008E5580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NSPCC</w:t>
            </w:r>
          </w:p>
          <w:p w:rsidR="008E5580" w:rsidRDefault="00144992" w:rsidP="008E5580">
            <w:pPr>
              <w:rPr>
                <w:sz w:val="20"/>
                <w:szCs w:val="18"/>
              </w:rPr>
            </w:pPr>
            <w:hyperlink r:id="rId9" w:history="1">
              <w:r w:rsidR="008E5580" w:rsidRPr="00DF02C0">
                <w:rPr>
                  <w:rStyle w:val="Hyperlink"/>
                  <w:sz w:val="20"/>
                  <w:szCs w:val="18"/>
                </w:rPr>
                <w:t>https://www.nspcc.org.uk/preventing-abuse/child-abuse-and-neglect/female-genital-mutilation-fgm</w:t>
              </w:r>
            </w:hyperlink>
          </w:p>
          <w:p w:rsidR="008E5580" w:rsidRDefault="008E5580" w:rsidP="008E5580">
            <w:pPr>
              <w:rPr>
                <w:sz w:val="20"/>
                <w:szCs w:val="18"/>
              </w:rPr>
            </w:pPr>
          </w:p>
          <w:p w:rsidR="008E5580" w:rsidRPr="003B3023" w:rsidRDefault="008E5580" w:rsidP="008E5580">
            <w:pPr>
              <w:rPr>
                <w:b/>
                <w:sz w:val="20"/>
                <w:szCs w:val="18"/>
              </w:rPr>
            </w:pPr>
            <w:r w:rsidRPr="003B3023">
              <w:rPr>
                <w:b/>
                <w:sz w:val="20"/>
                <w:szCs w:val="18"/>
              </w:rPr>
              <w:t>LSCB</w:t>
            </w:r>
          </w:p>
          <w:p w:rsidR="008E5580" w:rsidRDefault="008E5580" w:rsidP="008E5580">
            <w:pPr>
              <w:rPr>
                <w:sz w:val="20"/>
                <w:szCs w:val="18"/>
              </w:rPr>
            </w:pPr>
            <w:r w:rsidRPr="003B3023">
              <w:rPr>
                <w:sz w:val="20"/>
                <w:szCs w:val="18"/>
              </w:rPr>
              <w:t>http://lrsb.org.uk/free-e-learning--female-genital</w:t>
            </w:r>
          </w:p>
          <w:p w:rsidR="008E5580" w:rsidRDefault="008E5580" w:rsidP="008E5580">
            <w:pPr>
              <w:rPr>
                <w:sz w:val="20"/>
                <w:szCs w:val="18"/>
              </w:rPr>
            </w:pPr>
          </w:p>
          <w:p w:rsidR="008E5580" w:rsidRPr="00AD6A9F" w:rsidRDefault="008E5580" w:rsidP="008E5580">
            <w:pPr>
              <w:rPr>
                <w:b/>
                <w:sz w:val="20"/>
                <w:szCs w:val="18"/>
              </w:rPr>
            </w:pPr>
            <w:r w:rsidRPr="00AD6A9F">
              <w:rPr>
                <w:b/>
                <w:sz w:val="20"/>
                <w:szCs w:val="18"/>
              </w:rPr>
              <w:t>Virtual College Home Office</w:t>
            </w:r>
          </w:p>
          <w:p w:rsidR="008E5580" w:rsidRPr="00492764" w:rsidRDefault="008E5580" w:rsidP="008E5580">
            <w:pPr>
              <w:rPr>
                <w:sz w:val="20"/>
                <w:szCs w:val="18"/>
              </w:rPr>
            </w:pPr>
            <w:r w:rsidRPr="00AD6A9F">
              <w:rPr>
                <w:sz w:val="20"/>
                <w:szCs w:val="18"/>
              </w:rPr>
              <w:t>https://www.fgmelearning.co.uk/</w:t>
            </w:r>
          </w:p>
          <w:p w:rsidR="008E5580" w:rsidRDefault="008E5580" w:rsidP="003F7D3D">
            <w:pPr>
              <w:rPr>
                <w:color w:val="A6A6A6" w:themeColor="background1" w:themeShade="A6"/>
                <w:sz w:val="20"/>
                <w:szCs w:val="18"/>
              </w:rPr>
            </w:pPr>
          </w:p>
          <w:p w:rsidR="008E5580" w:rsidRPr="0054373C" w:rsidRDefault="008E5580" w:rsidP="003F7D3D">
            <w:pPr>
              <w:rPr>
                <w:color w:val="A6A6A6" w:themeColor="background1" w:themeShade="A6"/>
                <w:sz w:val="20"/>
                <w:szCs w:val="18"/>
              </w:rPr>
            </w:pPr>
          </w:p>
          <w:p w:rsidR="005F6A2E" w:rsidRPr="005F6A2E" w:rsidRDefault="009C50F1" w:rsidP="00A46455">
            <w:pPr>
              <w:rPr>
                <w:b/>
                <w:sz w:val="20"/>
                <w:szCs w:val="18"/>
              </w:rPr>
            </w:pPr>
            <w:r w:rsidRPr="005F6A2E">
              <w:rPr>
                <w:b/>
                <w:sz w:val="20"/>
                <w:szCs w:val="18"/>
              </w:rPr>
              <w:t>Useful links;</w:t>
            </w:r>
          </w:p>
          <w:p w:rsidR="00A46455" w:rsidRDefault="009C50F1" w:rsidP="00A46455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</w:t>
            </w:r>
          </w:p>
          <w:p w:rsidR="009C50F1" w:rsidRPr="005F6A2E" w:rsidRDefault="005F6A2E" w:rsidP="00A46455">
            <w:pPr>
              <w:rPr>
                <w:b/>
                <w:sz w:val="20"/>
                <w:szCs w:val="18"/>
              </w:rPr>
            </w:pPr>
            <w:r w:rsidRPr="005F6A2E">
              <w:rPr>
                <w:b/>
                <w:sz w:val="20"/>
                <w:szCs w:val="18"/>
              </w:rPr>
              <w:t>NHS</w:t>
            </w:r>
          </w:p>
          <w:p w:rsidR="009C50F1" w:rsidRDefault="005F6A2E" w:rsidP="00A46455">
            <w:pPr>
              <w:rPr>
                <w:sz w:val="20"/>
                <w:szCs w:val="18"/>
              </w:rPr>
            </w:pPr>
            <w:r w:rsidRPr="005F6A2E">
              <w:rPr>
                <w:sz w:val="20"/>
                <w:szCs w:val="18"/>
              </w:rPr>
              <w:t>https://www.nhs.uk/conditions/female-genital-mutilation-fgm/</w:t>
            </w:r>
          </w:p>
          <w:p w:rsidR="009C50F1" w:rsidRPr="005F6A2E" w:rsidRDefault="009C50F1" w:rsidP="00A46455">
            <w:pPr>
              <w:rPr>
                <w:sz w:val="8"/>
                <w:szCs w:val="18"/>
              </w:rPr>
            </w:pPr>
          </w:p>
          <w:p w:rsidR="005F6A2E" w:rsidRPr="005F6A2E" w:rsidRDefault="005F6A2E" w:rsidP="00A46455">
            <w:pPr>
              <w:rPr>
                <w:b/>
                <w:sz w:val="20"/>
                <w:szCs w:val="18"/>
              </w:rPr>
            </w:pPr>
            <w:r w:rsidRPr="005F6A2E">
              <w:rPr>
                <w:b/>
                <w:sz w:val="20"/>
                <w:szCs w:val="18"/>
              </w:rPr>
              <w:t>Forward – safeguarding rights and dignity</w:t>
            </w:r>
          </w:p>
          <w:p w:rsidR="005F6A2E" w:rsidRDefault="005F6A2E" w:rsidP="00A46455">
            <w:pPr>
              <w:rPr>
                <w:sz w:val="20"/>
                <w:szCs w:val="18"/>
              </w:rPr>
            </w:pPr>
            <w:r w:rsidRPr="005F6A2E">
              <w:rPr>
                <w:sz w:val="20"/>
                <w:szCs w:val="18"/>
              </w:rPr>
              <w:t>http://forwarduk.org.uk/key-issues/fgm/</w:t>
            </w:r>
          </w:p>
          <w:p w:rsidR="005F6A2E" w:rsidRPr="009E3054" w:rsidRDefault="005F6A2E" w:rsidP="00A46455">
            <w:pPr>
              <w:rPr>
                <w:b/>
                <w:sz w:val="20"/>
                <w:szCs w:val="18"/>
              </w:rPr>
            </w:pPr>
          </w:p>
          <w:p w:rsidR="009E3054" w:rsidRPr="009E3054" w:rsidRDefault="009E3054" w:rsidP="00A46455">
            <w:pPr>
              <w:rPr>
                <w:b/>
                <w:sz w:val="20"/>
                <w:szCs w:val="18"/>
              </w:rPr>
            </w:pPr>
            <w:r w:rsidRPr="009E3054">
              <w:rPr>
                <w:b/>
                <w:sz w:val="20"/>
                <w:szCs w:val="18"/>
              </w:rPr>
              <w:t>LSCB</w:t>
            </w:r>
          </w:p>
          <w:p w:rsidR="009E3054" w:rsidRDefault="00E512C7" w:rsidP="00A46455">
            <w:pPr>
              <w:rPr>
                <w:sz w:val="20"/>
                <w:szCs w:val="18"/>
              </w:rPr>
            </w:pPr>
            <w:r w:rsidRPr="00E512C7">
              <w:rPr>
                <w:sz w:val="20"/>
                <w:szCs w:val="18"/>
              </w:rPr>
              <w:t>http://lrsb.org.uk/lmagrda-fgm</w:t>
            </w:r>
          </w:p>
          <w:p w:rsidR="00E512C7" w:rsidRDefault="00E512C7" w:rsidP="00A46455">
            <w:pPr>
              <w:rPr>
                <w:sz w:val="20"/>
                <w:szCs w:val="18"/>
              </w:rPr>
            </w:pPr>
          </w:p>
          <w:p w:rsidR="00A46455" w:rsidRPr="00492764" w:rsidRDefault="00A46455" w:rsidP="00A46455">
            <w:pPr>
              <w:rPr>
                <w:sz w:val="20"/>
                <w:szCs w:val="18"/>
              </w:rPr>
            </w:pPr>
          </w:p>
          <w:p w:rsidR="00A46455" w:rsidRPr="00492764" w:rsidRDefault="00A46455" w:rsidP="00A46455">
            <w:pPr>
              <w:rPr>
                <w:sz w:val="20"/>
                <w:szCs w:val="18"/>
              </w:rPr>
            </w:pPr>
          </w:p>
          <w:p w:rsidR="00A46455" w:rsidRPr="00492764" w:rsidRDefault="00A46455" w:rsidP="00A46455">
            <w:pPr>
              <w:rPr>
                <w:sz w:val="20"/>
                <w:szCs w:val="18"/>
              </w:rPr>
            </w:pPr>
          </w:p>
          <w:p w:rsidR="00A46455" w:rsidRPr="00492764" w:rsidRDefault="00A46455" w:rsidP="00A46455">
            <w:pPr>
              <w:rPr>
                <w:sz w:val="20"/>
                <w:szCs w:val="18"/>
              </w:rPr>
            </w:pPr>
          </w:p>
          <w:p w:rsidR="00B549A7" w:rsidRPr="00492764" w:rsidRDefault="00B549A7" w:rsidP="0001743A">
            <w:pPr>
              <w:rPr>
                <w:sz w:val="20"/>
                <w:szCs w:val="18"/>
              </w:rPr>
            </w:pPr>
          </w:p>
        </w:tc>
        <w:tc>
          <w:tcPr>
            <w:tcW w:w="3686" w:type="dxa"/>
          </w:tcPr>
          <w:p w:rsidR="00B549A7" w:rsidRPr="00492764" w:rsidRDefault="00047267" w:rsidP="00047267">
            <w:pPr>
              <w:rPr>
                <w:b/>
                <w:color w:val="A6A6A6" w:themeColor="background1" w:themeShade="A6"/>
                <w:sz w:val="20"/>
                <w:szCs w:val="18"/>
              </w:rPr>
            </w:pPr>
            <w:r w:rsidRPr="00492764">
              <w:rPr>
                <w:b/>
                <w:color w:val="A6A6A6" w:themeColor="background1" w:themeShade="A6"/>
                <w:sz w:val="20"/>
                <w:szCs w:val="18"/>
              </w:rPr>
              <w:lastRenderedPageBreak/>
              <w:t xml:space="preserve">Guidance note: Remember to date your evidence to allow you to revisit and review relevance.  </w:t>
            </w:r>
          </w:p>
          <w:p w:rsidR="00047267" w:rsidRPr="00492764" w:rsidRDefault="00047267" w:rsidP="00047267">
            <w:pPr>
              <w:rPr>
                <w:b/>
                <w:color w:val="A6A6A6" w:themeColor="background1" w:themeShade="A6"/>
                <w:sz w:val="20"/>
                <w:szCs w:val="18"/>
              </w:rPr>
            </w:pPr>
          </w:p>
          <w:p w:rsidR="00047267" w:rsidRPr="00492764" w:rsidRDefault="00047267" w:rsidP="00047267">
            <w:pPr>
              <w:rPr>
                <w:b/>
                <w:color w:val="A6A6A6" w:themeColor="background1" w:themeShade="A6"/>
                <w:sz w:val="20"/>
                <w:szCs w:val="18"/>
              </w:rPr>
            </w:pPr>
          </w:p>
          <w:p w:rsidR="00047267" w:rsidRPr="00492764" w:rsidRDefault="00047267" w:rsidP="00047267">
            <w:pPr>
              <w:rPr>
                <w:color w:val="9BBB59" w:themeColor="accent3"/>
                <w:sz w:val="20"/>
                <w:szCs w:val="18"/>
              </w:rPr>
            </w:pPr>
          </w:p>
        </w:tc>
      </w:tr>
    </w:tbl>
    <w:p w:rsidR="008A598B" w:rsidRPr="008A598B" w:rsidRDefault="008A598B" w:rsidP="00572173">
      <w:pPr>
        <w:rPr>
          <w:b/>
          <w:color w:val="0070C0"/>
          <w:sz w:val="12"/>
        </w:rPr>
      </w:pPr>
    </w:p>
    <w:sectPr w:rsidR="008A598B" w:rsidRPr="008A598B" w:rsidSect="008A59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173" w:rsidRDefault="00572173" w:rsidP="00572173">
      <w:pPr>
        <w:spacing w:after="0" w:line="240" w:lineRule="auto"/>
      </w:pPr>
      <w:r>
        <w:separator/>
      </w:r>
    </w:p>
  </w:endnote>
  <w:endnote w:type="continuationSeparator" w:id="0">
    <w:p w:rsidR="00572173" w:rsidRDefault="00572173" w:rsidP="0057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023" w:rsidRDefault="003B30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55" w:rsidRPr="00A46455" w:rsidRDefault="00A46455" w:rsidP="00A46455">
    <w:pPr>
      <w:spacing w:after="0"/>
      <w:rPr>
        <w:b/>
        <w:color w:val="FF0000"/>
      </w:rPr>
    </w:pPr>
    <w:r w:rsidRPr="00A46455">
      <w:rPr>
        <w:b/>
        <w:color w:val="FF0000"/>
        <w:sz w:val="24"/>
      </w:rPr>
      <w:t xml:space="preserve">ENSURE NEXT STEPS IDENTIFIED ARE CAPTURED ON YOUR SETTINGS DEVELOPMENT ACTION PLAN </w:t>
    </w:r>
    <w:r w:rsidRPr="00A46455">
      <w:rPr>
        <w:b/>
        <w:color w:val="FF0000"/>
      </w:rPr>
      <w:t xml:space="preserve">– this will allow you to monitor developments and evidence progress made. </w:t>
    </w:r>
  </w:p>
  <w:p w:rsidR="00A46455" w:rsidRPr="00A46455" w:rsidRDefault="00A46455" w:rsidP="00A46455">
    <w:pPr>
      <w:spacing w:after="0"/>
      <w:rPr>
        <w:b/>
        <w:i/>
        <w:color w:val="FF0000"/>
      </w:rPr>
    </w:pPr>
    <w:r w:rsidRPr="00A46455">
      <w:rPr>
        <w:b/>
        <w:i/>
        <w:color w:val="FF0000"/>
      </w:rPr>
      <w:t>For action plan template, see annex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023" w:rsidRDefault="003B30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173" w:rsidRDefault="00572173" w:rsidP="00572173">
      <w:pPr>
        <w:spacing w:after="0" w:line="240" w:lineRule="auto"/>
      </w:pPr>
      <w:r>
        <w:separator/>
      </w:r>
    </w:p>
  </w:footnote>
  <w:footnote w:type="continuationSeparator" w:id="0">
    <w:p w:rsidR="00572173" w:rsidRDefault="00572173" w:rsidP="00572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023" w:rsidRDefault="003B30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73" w:rsidRPr="00047267" w:rsidRDefault="00572173" w:rsidP="00572173">
    <w:pPr>
      <w:rPr>
        <w:b/>
        <w:color w:val="FF0000"/>
        <w:sz w:val="28"/>
      </w:rPr>
    </w:pPr>
    <w:r w:rsidRPr="00572173">
      <w:rPr>
        <w:b/>
        <w:sz w:val="28"/>
      </w:rPr>
      <w:t xml:space="preserve">Quality Improvement Framework  </w:t>
    </w:r>
    <w:r w:rsidRPr="00572173">
      <w:rPr>
        <w:b/>
        <w:sz w:val="28"/>
      </w:rPr>
      <w:tab/>
    </w:r>
    <w:r w:rsidRPr="00572173">
      <w:rPr>
        <w:b/>
        <w:sz w:val="28"/>
      </w:rPr>
      <w:tab/>
    </w:r>
    <w:r w:rsidRPr="00572173">
      <w:rPr>
        <w:b/>
        <w:sz w:val="28"/>
      </w:rPr>
      <w:tab/>
      <w:t xml:space="preserve"> Section </w:t>
    </w:r>
    <w:r w:rsidR="0049110B" w:rsidRPr="0049110B">
      <w:rPr>
        <w:b/>
        <w:sz w:val="28"/>
      </w:rPr>
      <w:t>1</w:t>
    </w:r>
    <w:r w:rsidRPr="0049110B">
      <w:rPr>
        <w:b/>
        <w:sz w:val="28"/>
      </w:rPr>
      <w:t xml:space="preserve"> – </w:t>
    </w:r>
    <w:r w:rsidR="0049110B" w:rsidRPr="0049110B">
      <w:rPr>
        <w:b/>
        <w:sz w:val="28"/>
      </w:rPr>
      <w:t>Safeguarding</w:t>
    </w:r>
  </w:p>
  <w:p w:rsidR="00572173" w:rsidRDefault="00572173" w:rsidP="00572173">
    <w:r>
      <w:t xml:space="preserve"> </w:t>
    </w:r>
    <w:r w:rsidR="00B549A7" w:rsidRPr="00977C9D">
      <w:rPr>
        <w:sz w:val="28"/>
      </w:rPr>
      <w:t xml:space="preserve">Subsection: </w:t>
    </w:r>
    <w:r w:rsidR="0049110B" w:rsidRPr="003B3023">
      <w:rPr>
        <w:b/>
        <w:color w:val="FF0000"/>
        <w:sz w:val="28"/>
      </w:rPr>
      <w:t>Female Genital Mutilation (FGM)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023" w:rsidRDefault="003B30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836BA"/>
    <w:multiLevelType w:val="hybridMultilevel"/>
    <w:tmpl w:val="53B85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92C4E"/>
    <w:multiLevelType w:val="hybridMultilevel"/>
    <w:tmpl w:val="9580D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73"/>
    <w:rsid w:val="0001743A"/>
    <w:rsid w:val="00034FD1"/>
    <w:rsid w:val="00047267"/>
    <w:rsid w:val="00144992"/>
    <w:rsid w:val="001C6CD2"/>
    <w:rsid w:val="003B3023"/>
    <w:rsid w:val="003F7D3D"/>
    <w:rsid w:val="00423B6B"/>
    <w:rsid w:val="0049110B"/>
    <w:rsid w:val="00492764"/>
    <w:rsid w:val="0054373C"/>
    <w:rsid w:val="00572173"/>
    <w:rsid w:val="005D27BE"/>
    <w:rsid w:val="005F6A2E"/>
    <w:rsid w:val="00703A3E"/>
    <w:rsid w:val="008A598B"/>
    <w:rsid w:val="008E5580"/>
    <w:rsid w:val="00977C9D"/>
    <w:rsid w:val="00980E45"/>
    <w:rsid w:val="009C50F1"/>
    <w:rsid w:val="009E3054"/>
    <w:rsid w:val="00A46455"/>
    <w:rsid w:val="00A822F8"/>
    <w:rsid w:val="00AA43B9"/>
    <w:rsid w:val="00AD6A9F"/>
    <w:rsid w:val="00B549A7"/>
    <w:rsid w:val="00E5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173"/>
  </w:style>
  <w:style w:type="paragraph" w:styleId="Footer">
    <w:name w:val="footer"/>
    <w:basedOn w:val="Normal"/>
    <w:link w:val="FooterChar"/>
    <w:uiPriority w:val="99"/>
    <w:unhideWhenUsed/>
    <w:rsid w:val="00572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173"/>
  </w:style>
  <w:style w:type="table" w:styleId="TableGrid">
    <w:name w:val="Table Grid"/>
    <w:basedOn w:val="TableNormal"/>
    <w:uiPriority w:val="59"/>
    <w:rsid w:val="001C6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C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50F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12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173"/>
  </w:style>
  <w:style w:type="paragraph" w:styleId="Footer">
    <w:name w:val="footer"/>
    <w:basedOn w:val="Normal"/>
    <w:link w:val="FooterChar"/>
    <w:uiPriority w:val="99"/>
    <w:unhideWhenUsed/>
    <w:rsid w:val="00572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173"/>
  </w:style>
  <w:style w:type="table" w:styleId="TableGrid">
    <w:name w:val="Table Grid"/>
    <w:basedOn w:val="TableNormal"/>
    <w:uiPriority w:val="59"/>
    <w:rsid w:val="001C6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C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50F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12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spcc.org.uk/preventing-abuse/child-abuse-and-neglect/female-genital-mutilation-fg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Mason</dc:creator>
  <cp:lastModifiedBy>Kelly Mason</cp:lastModifiedBy>
  <cp:revision>9</cp:revision>
  <dcterms:created xsi:type="dcterms:W3CDTF">2018-06-05T11:23:00Z</dcterms:created>
  <dcterms:modified xsi:type="dcterms:W3CDTF">2018-10-23T12:16:00Z</dcterms:modified>
</cp:coreProperties>
</file>